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2025-2026年中国企业全球化出海全景合规与法律政策规制清单</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本清单涵盖中国企业在产能输出、资本并购、技术授权及数字服务等出海全生命周期中涉及的八大核心领域法律、法规与政策，并详细摘录了对应细分产品的相关法条原文与核心规制要求。</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出海领域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具体细分产品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完整的法律、法规、政策清单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具体原文条文与核心合规要求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一、投资准入与资本跨境流动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境外直接投资(ODI)、海外并购(M&amp;A)、绿地投资、合资建厂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中国《企业境外投资管理办法》(发改委)</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中国《境外投资管理办法》(商务部)</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美国《外资投资风险审查现代化法案》(FIRRMA)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欧盟外资审查框架(Regulation (EU) 2021/821)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英国《国家安全与投资法》(NSI)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中国发改委ODI备案</w:t>
            </w:r>
            <w:r w:rsidDel="00000000" w:rsidR="00000000" w:rsidRPr="00000000">
              <w:rPr>
                <w:rFonts w:ascii="Google Sans" w:cs="Google Sans" w:eastAsia="Google Sans" w:hAnsi="Google Sans"/>
                <w:color w:val="1f1f1f"/>
                <w:shd w:fill="auto" w:val="clear"/>
                <w:rtl w:val="0"/>
              </w:rPr>
              <w:t xml:space="preserve">：3亿美元以下项目由省级发改委进行备案，3亿美元及以上的大型项目必须报送国家发改委备案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英国NSI审查</w:t>
            </w:r>
            <w:r w:rsidDel="00000000" w:rsidR="00000000" w:rsidRPr="00000000">
              <w:rPr>
                <w:rFonts w:ascii="Google Sans" w:cs="Google Sans" w:eastAsia="Google Sans" w:hAnsi="Google Sans"/>
                <w:color w:val="1f1f1f"/>
                <w:shd w:fill="auto" w:val="clear"/>
                <w:rtl w:val="0"/>
              </w:rPr>
              <w:t xml:space="preserve">：“The UK issues guidance clarifying that certain outbound investments fall within the scope of the National Security and Investment Act.”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延伸了对外投资的国家安全审查触角；</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欧盟FDI停钟机制</w:t>
            </w:r>
            <w:r w:rsidDel="00000000" w:rsidR="00000000" w:rsidRPr="00000000">
              <w:rPr>
                <w:rFonts w:ascii="Google Sans" w:cs="Google Sans" w:eastAsia="Google Sans" w:hAnsi="Google Sans"/>
                <w:color w:val="1f1f1f"/>
                <w:shd w:fill="auto" w:val="clear"/>
                <w:rtl w:val="0"/>
              </w:rPr>
              <w:t xml:space="preserve">：“So-called ‘stop the clock’ questions may suspend the statutory review period at any time.”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审查机构有权随时中止法定审查期。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二、贸易、出口管制与经济制裁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军民两用物项（半导体设备、高端机床等）、锂离子电池及正极材料制造技术、新能源汽车（NEV）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中国《出口管制法》(2020)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中国《两用物项出口管制条例》(2024)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中国《禁止出口限制出口技术目录》(2025最新修订)</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美国《通胀削减法案》(IRA)及实体清单(Entity 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中国《出口管制法》</w:t>
            </w:r>
            <w:r w:rsidDel="00000000" w:rsidR="00000000" w:rsidRPr="00000000">
              <w:rPr>
                <w:rFonts w:ascii="Google Sans" w:cs="Google Sans" w:eastAsia="Google Sans" w:hAnsi="Google Sans"/>
                <w:color w:val="1f1f1f"/>
                <w:shd w:fill="auto" w:val="clear"/>
                <w:rtl w:val="0"/>
              </w:rPr>
              <w:t xml:space="preserve"> 第十二条：“国家实行统一的出口管制制度，通过制定管制清单、名录或者目录、实施出口许可等方式进行管理。”</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中国《两用物项出口管制条例》</w:t>
            </w:r>
            <w:r w:rsidDel="00000000" w:rsidR="00000000" w:rsidRPr="00000000">
              <w:rPr>
                <w:rFonts w:ascii="Google Sans" w:cs="Google Sans" w:eastAsia="Google Sans" w:hAnsi="Google Sans"/>
                <w:color w:val="1f1f1f"/>
                <w:shd w:fill="auto" w:val="clear"/>
                <w:rtl w:val="0"/>
              </w:rPr>
              <w:t xml:space="preserve"> 第十四条：“国家对两用物项的出口实行许可制度。出口两用物项出口管制清单所列两用物项或者实施临时管制的两用物项，出口经营者应当向国务院商务主管部门申请许可。”</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中国《限制出口技术目录》</w:t>
            </w:r>
            <w:r w:rsidDel="00000000" w:rsidR="00000000" w:rsidRPr="00000000">
              <w:rPr>
                <w:rFonts w:ascii="Google Sans" w:cs="Google Sans" w:eastAsia="Google Sans" w:hAnsi="Google Sans"/>
                <w:color w:val="1f1f1f"/>
                <w:shd w:fill="auto" w:val="clear"/>
                <w:rtl w:val="0"/>
              </w:rPr>
              <w:t xml:space="preserve">：新增涉锂电技术：“Item 252604X Technology for battery positive electrode materials and preparations was added... Control points 9–13, all related to lithium extraction, were added to item 083201X.”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美国IRA法案</w:t>
            </w:r>
            <w:r w:rsidDel="00000000" w:rsidR="00000000" w:rsidRPr="00000000">
              <w:rPr>
                <w:rFonts w:ascii="Google Sans" w:cs="Google Sans" w:eastAsia="Google Sans" w:hAnsi="Google Sans"/>
                <w:color w:val="1f1f1f"/>
                <w:shd w:fill="auto" w:val="clear"/>
                <w:rtl w:val="0"/>
              </w:rPr>
              <w:t xml:space="preserve"> 针对受关注外国实体(FEOC)的限制：“Beginning in 2024, an eligible clean vehicle may not contain any battery components that are manufactured by a foreign entity of concern and beginning in 2025 an eligible clean vehicle may not contain any critical minerals that were extracted, processed, or recycled by a foreign entity of concern.”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三、反垄断、竞争法与公平市场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跨国并购项目、平台经济企业、科技与电子制造业、票务/出行平台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中国《反垄断法》及市场监管总局(SAMR)经营者集中审查指南</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印尼《关于禁止垄断实践和不公平商业竞争的第5号法律》</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越南2018年《竞争法》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中国SAMR经营者集中审查标准</w:t>
            </w:r>
            <w:r w:rsidDel="00000000" w:rsidR="00000000" w:rsidRPr="00000000">
              <w:rPr>
                <w:rFonts w:ascii="Google Sans" w:cs="Google Sans" w:eastAsia="Google Sans" w:hAnsi="Google Sans"/>
                <w:color w:val="1f1f1f"/>
                <w:shd w:fill="auto" w:val="clear"/>
                <w:rtl w:val="0"/>
              </w:rPr>
              <w:t xml:space="preserve">：“Combined Market Shares More than 50% - Presumption of anti-competitive effects”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(合并后相关市场合计份额超过50%，直接推定具有反竞争效果)。</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印尼第5号法律</w:t>
            </w:r>
            <w:r w:rsidDel="00000000" w:rsidR="00000000" w:rsidRPr="00000000">
              <w:rPr>
                <w:rFonts w:ascii="Google Sans" w:cs="Google Sans" w:eastAsia="Google Sans" w:hAnsi="Google Sans"/>
                <w:color w:val="1f1f1f"/>
                <w:shd w:fill="auto" w:val="clear"/>
                <w:rtl w:val="0"/>
              </w:rPr>
              <w:t xml:space="preserve"> 第四条：“Business actors shall be prohibited from entering into agreements with other business actors with the aim of jointly controlling the purchase or acquisition of supplies in order to control prices of goods and or services in the relevant market, which may result in monopolistic practices and or unfair business competition.” (严禁企业间达成旨在控制价格或操纵供应链的卡特尔协议)。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四、数据主权、隐私保护与网络安全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智能网联车(IoV)、跨境SaaS平台、泛娱乐社交App、面向儿童/青少年的在线服务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沙特《个人数据保护法》(PDPL)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越南《第13号个人数据保护法令》(Decree 13)与《网络安全法》</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欧盟GDPR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联合国车辆网络安全法规(UN R155/R156)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美国《儿童在线隐私保护法》(COPPA)及加州ADCA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越南Decree 13</w:t>
            </w:r>
            <w:r w:rsidDel="00000000" w:rsidR="00000000" w:rsidRPr="00000000">
              <w:rPr>
                <w:rFonts w:ascii="Google Sans" w:cs="Google Sans" w:eastAsia="Google Sans" w:hAnsi="Google Sans"/>
                <w:color w:val="1f1f1f"/>
                <w:shd w:fill="auto" w:val="clear"/>
                <w:rtl w:val="0"/>
              </w:rPr>
              <w:t xml:space="preserve"> 第十三条明确目的限制：“Personal data shall be processed only for purposes registered or declared by personal data controllers... Collected personal data must be appropriate and limited to the data processing scope and purposes.”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沙特PDPL</w:t>
            </w:r>
            <w:r w:rsidDel="00000000" w:rsidR="00000000" w:rsidRPr="00000000">
              <w:rPr>
                <w:rFonts w:ascii="Google Sans" w:cs="Google Sans" w:eastAsia="Google Sans" w:hAnsi="Google Sans"/>
                <w:color w:val="1f1f1f"/>
                <w:shd w:fill="auto" w:val="clear"/>
                <w:rtl w:val="0"/>
              </w:rPr>
              <w:t xml:space="preserve"> 域外管辖权：“The PDPL applies to any processing of personal data that takes place within KSA, including the processing of personal data related to individuals residing in KSA by an entity outside KSA.”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联合国UN R155/R156汽车网联法规</w:t>
            </w:r>
            <w:r w:rsidDel="00000000" w:rsidR="00000000" w:rsidRPr="00000000">
              <w:rPr>
                <w:rFonts w:ascii="Google Sans" w:cs="Google Sans" w:eastAsia="Google Sans" w:hAnsi="Google Sans"/>
                <w:color w:val="1f1f1f"/>
                <w:shd w:fill="auto" w:val="clear"/>
                <w:rtl w:val="0"/>
              </w:rPr>
              <w:t xml:space="preserve"> 要求OTA合规：“Ensure that the SW on a vehicle is and stays compliant with vehicle homologation.”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美国COPPA</w:t>
            </w:r>
            <w:r w:rsidDel="00000000" w:rsidR="00000000" w:rsidRPr="00000000">
              <w:rPr>
                <w:rFonts w:ascii="Google Sans" w:cs="Google Sans" w:eastAsia="Google Sans" w:hAnsi="Google Sans"/>
                <w:color w:val="1f1f1f"/>
                <w:shd w:fill="auto" w:val="clear"/>
                <w:rtl w:val="0"/>
              </w:rPr>
              <w:t xml:space="preserve">：“COPPA imposes certain requirements on operators of websites or online services directed to children under 13 years of 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五、跨境电商、数字平台与内容合规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跨境B2C/B2B电商平台(如SHEIN, Temu)、泛娱乐平台、出海游戏(Game)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欧盟《数字市场法》(DMA)及《数字服务法》(DSA)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欧盟《Omnibus指令》(新消费者政纲)</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美国《INFORM消费者法案》</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越南《关于互联网服务和网络信息管理的第147/2024/ND-CP号法令》</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印尼《游戏分类条例》(IGRS MOCD Reg 2/2024)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沙特媒体监管总局(GAMR)内容创作者指南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欧盟Omnibus指令</w:t>
            </w:r>
            <w:r w:rsidDel="00000000" w:rsidR="00000000" w:rsidRPr="00000000">
              <w:rPr>
                <w:rFonts w:ascii="Google Sans" w:cs="Google Sans" w:eastAsia="Google Sans" w:hAnsi="Google Sans"/>
                <w:color w:val="1f1f1f"/>
                <w:shd w:fill="auto" w:val="clear"/>
                <w:rtl w:val="0"/>
              </w:rPr>
              <w:t xml:space="preserve"> Article 6a (打击虚假打折)：“Article 6a aims at preventing traders from artificially inflating the reference price and/or misleading consumers... indicating the lowest price applied by the trader during a period of time not shorter than 30 days prior to the application of the price reduction”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美国INFORM消费者法案</w:t>
            </w:r>
            <w:r w:rsidDel="00000000" w:rsidR="00000000" w:rsidRPr="00000000">
              <w:rPr>
                <w:rFonts w:ascii="Google Sans" w:cs="Google Sans" w:eastAsia="Google Sans" w:hAnsi="Google Sans"/>
                <w:color w:val="1f1f1f"/>
                <w:shd w:fill="auto" w:val="clear"/>
                <w:rtl w:val="0"/>
              </w:rPr>
              <w:t xml:space="preserve"> 平台责任：“online marketplaces where high-volume third party sellers offer new or unused consumer products must collect, verify, and disclose certain information about those sellers.”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印尼IGRS游戏分级</w:t>
            </w:r>
            <w:r w:rsidDel="00000000" w:rsidR="00000000" w:rsidRPr="00000000">
              <w:rPr>
                <w:rFonts w:ascii="Google Sans" w:cs="Google Sans" w:eastAsia="Google Sans" w:hAnsi="Google Sans"/>
                <w:color w:val="1f1f1f"/>
                <w:shd w:fill="auto" w:val="clear"/>
                <w:rtl w:val="0"/>
              </w:rPr>
              <w:t xml:space="preserve">：“From that point onward, every game publisher, whether local or foreign, whose titles are marketed or accessible in Indonesia must comply with the Game Classification Regulation” 强制设立本地代表并送审分级。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六、产品强制认证与技术标准壁垒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消费电子、家用电器、儿童玩具、带无线通讯的智能设备、医疗器械、动力电池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欧盟《新电池法规》(Regulation (EU) 2023/1542)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中东海湾G-Mark认证体系</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沙特Saber/SASO电子认证系统</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沙特SFDA医疗器械监管要求</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印尼SNI强制认证及越南TCVN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欧盟《新电池法规》</w:t>
            </w:r>
            <w:r w:rsidDel="00000000" w:rsidR="00000000" w:rsidRPr="00000000">
              <w:rPr>
                <w:rFonts w:ascii="Google Sans" w:cs="Google Sans" w:eastAsia="Google Sans" w:hAnsi="Google Sans"/>
                <w:color w:val="1f1f1f"/>
                <w:shd w:fill="auto" w:val="clear"/>
                <w:rtl w:val="0"/>
              </w:rPr>
              <w:t xml:space="preserve"> 碳足迹及护照要求：“All EV, LMT, and rechargeable industrial batteries with a capacity of above 2 kWh are required to have a carbon footprint declaration and label... digital battery passport”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沙特SASO Saber认证</w:t>
            </w:r>
            <w:r w:rsidDel="00000000" w:rsidR="00000000" w:rsidRPr="00000000">
              <w:rPr>
                <w:rFonts w:ascii="Google Sans" w:cs="Google Sans" w:eastAsia="Google Sans" w:hAnsi="Google Sans"/>
                <w:color w:val="1f1f1f"/>
                <w:shd w:fill="auto" w:val="clear"/>
                <w:rtl w:val="0"/>
              </w:rPr>
              <w:t xml:space="preserve">：“A document certifying that all Saudi trade participants, i.e. all importers of regulated and non-regulated products, and their respective products have been registered with the SABER portal... Required for customs clearance and market access.”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沙特SFDA医疗器械监管</w:t>
            </w:r>
            <w:r w:rsidDel="00000000" w:rsidR="00000000" w:rsidRPr="00000000">
              <w:rPr>
                <w:rFonts w:ascii="Google Sans" w:cs="Google Sans" w:eastAsia="Google Sans" w:hAnsi="Google Sans"/>
                <w:color w:val="1f1f1f"/>
                <w:shd w:fill="auto" w:val="clear"/>
                <w:rtl w:val="0"/>
              </w:rPr>
              <w:t xml:space="preserve">：“Medical devices may be placed in the market and/or put into service only if they comply with the applicable provisions of the Interim Regulation, as signified by the SFDA issuing the manufacturer with a written marketing authorization.”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七、国际税收、数字税与间接税征管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跨境电商小包直邮、海外仓商品发货、数字订阅服务(TBE服务)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欧盟一站式进口服务(IOSS)与联盟一站式服务(Union OSS)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阿联酋《VAT执行条例》(第100号内阁决定)</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沙特VAT及电子发票(e-invoicing)规制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欧盟IOSS机制</w:t>
            </w:r>
            <w:r w:rsidDel="00000000" w:rsidR="00000000" w:rsidRPr="00000000">
              <w:rPr>
                <w:rFonts w:ascii="Google Sans" w:cs="Google Sans" w:eastAsia="Google Sans" w:hAnsi="Google Sans"/>
                <w:color w:val="1f1f1f"/>
                <w:shd w:fill="auto" w:val="clear"/>
                <w:rtl w:val="0"/>
              </w:rPr>
              <w:t xml:space="preserve">：“The Import One Stop Shop (IOSS) has been created to simplify the declaration and payment of VAT for distance sales of low value goods not exceeding 150€ imported from third territories or third countries.”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欧盟平台连带代扣代缴责任</w:t>
            </w:r>
            <w:r w:rsidDel="00000000" w:rsidR="00000000" w:rsidRPr="00000000">
              <w:rPr>
                <w:rFonts w:ascii="Google Sans" w:cs="Google Sans" w:eastAsia="Google Sans" w:hAnsi="Google Sans"/>
                <w:color w:val="1f1f1f"/>
                <w:shd w:fill="auto" w:val="clear"/>
                <w:rtl w:val="0"/>
              </w:rPr>
              <w:t xml:space="preserve">：“Starting July 1, 2021, the marketplace facilitator is the deemed supplier responsible for the VAT due on third-party sales.”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八、跨国用工、社会保障与劳动法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海外分公司设立、属地化研发与运营团队招募、全球派遣员工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阿联酋2021年第33号联邦法令(新《劳动法》)</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印尼《创造就业法》(Omnibus Law, Law No. 6/2023)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欧盟《工作时间指令》(2003/88/EC)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阿联酋新劳动法</w:t>
            </w:r>
            <w:r w:rsidDel="00000000" w:rsidR="00000000" w:rsidRPr="00000000">
              <w:rPr>
                <w:rFonts w:ascii="Google Sans" w:cs="Google Sans" w:eastAsia="Google Sans" w:hAnsi="Google Sans"/>
                <w:color w:val="1f1f1f"/>
                <w:shd w:fill="auto" w:val="clear"/>
                <w:rtl w:val="0"/>
              </w:rPr>
              <w:t xml:space="preserve"> (废除无固定期限合同)：“The Employment Contract shall be a term-limited contract whose term may not exceed three (3) years. Upon agreement between the two parties, the contract's term may be extended or renewed”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欧盟工作时间指令</w:t>
            </w:r>
            <w:r w:rsidDel="00000000" w:rsidR="00000000" w:rsidRPr="00000000">
              <w:rPr>
                <w:rFonts w:ascii="Google Sans" w:cs="Google Sans" w:eastAsia="Google Sans" w:hAnsi="Google Sans"/>
                <w:color w:val="1f1f1f"/>
                <w:shd w:fill="auto" w:val="clear"/>
                <w:rtl w:val="0"/>
              </w:rPr>
              <w:t xml:space="preserve">：“the average working time for each seven day period must not exceed 48 hours, including overtime”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(严格限制包含加班在内的周平均工时不得超过48小时)。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九、金融支付与知识产权保护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出海跨境支付网关、电子钱包(Fintech)、全球品牌商标及底层技术专利布局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新加坡《支付服务法》(PSA 2019)</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阿联酋央行《储值设施法规》(SVF)</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《马德里协定与议定书》(商标国际注册)</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《专利合作条约》(PCT)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阿联酋央行SVF法规</w:t>
            </w:r>
            <w:r w:rsidDel="00000000" w:rsidR="00000000" w:rsidRPr="00000000">
              <w:rPr>
                <w:rFonts w:ascii="Google Sans" w:cs="Google Sans" w:eastAsia="Google Sans" w:hAnsi="Google Sans"/>
                <w:color w:val="1f1f1f"/>
                <w:shd w:fill="auto" w:val="clear"/>
                <w:rtl w:val="0"/>
              </w:rPr>
              <w:t xml:space="preserve"> (准入门槛)：“Issuing and operating SVF in the State requires a prior License from the Central Bank... paid-up capital of at least 15 million Dirham”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新加坡PSA法案</w:t>
            </w:r>
            <w:r w:rsidDel="00000000" w:rsidR="00000000" w:rsidRPr="00000000">
              <w:rPr>
                <w:rFonts w:ascii="Google Sans" w:cs="Google Sans" w:eastAsia="Google Sans" w:hAnsi="Google Sans"/>
                <w:color w:val="1f1f1f"/>
                <w:shd w:fill="auto" w:val="clear"/>
                <w:rtl w:val="0"/>
              </w:rPr>
              <w:t xml:space="preserve"> (对支付工具的定义)：“a payment system operated by a major payment institution... is, or is intended to be, a medium of exchange accepted by the public”</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PCT条约</w:t>
            </w:r>
            <w:r w:rsidDel="00000000" w:rsidR="00000000" w:rsidRPr="00000000">
              <w:rPr>
                <w:rFonts w:ascii="Google Sans" w:cs="Google Sans" w:eastAsia="Google Sans" w:hAnsi="Google Sans"/>
                <w:color w:val="1f1f1f"/>
                <w:shd w:fill="auto" w:val="clear"/>
                <w:rtl w:val="0"/>
              </w:rPr>
              <w:t xml:space="preserve"> (国际专利体系)：“The international application (IA) must be filed in the prescribed receiving Office (RO)(PCT Article 10).”</w:t>
            </w:r>
          </w:p>
        </w:tc>
      </w:tr>
    </w:tbl>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吴红樱：2025上市公司境外投资（ODI）备案合规指南- 研究成果 ..., 访问时间为 四月 25, 2026， </w:t>
      </w:r>
      <w:hyperlink r:id="rId6">
        <w:r w:rsidDel="00000000" w:rsidR="00000000" w:rsidRPr="00000000">
          <w:rPr>
            <w:rFonts w:ascii="Google Sans" w:cs="Google Sans" w:eastAsia="Google Sans" w:hAnsi="Google Sans"/>
            <w:color w:val="0000ee"/>
            <w:sz w:val="24"/>
            <w:szCs w:val="24"/>
            <w:u w:val="single"/>
            <w:rtl w:val="0"/>
          </w:rPr>
          <w:t xml:space="preserve">https://www.oceanlawfirm.com/html/2025/rdwt_0627/609.html</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Foreign direct investment screening in Australia, the United States, the United Kingdom, Japan and the European Union: recent reforms, 访问时间为 四月 25, 2026， </w:t>
      </w:r>
      <w:hyperlink r:id="rId7">
        <w:r w:rsidDel="00000000" w:rsidR="00000000" w:rsidRPr="00000000">
          <w:rPr>
            <w:rFonts w:ascii="Google Sans" w:cs="Google Sans" w:eastAsia="Google Sans" w:hAnsi="Google Sans"/>
            <w:color w:val="0000ee"/>
            <w:sz w:val="24"/>
            <w:szCs w:val="24"/>
            <w:u w:val="single"/>
            <w:rtl w:val="0"/>
          </w:rPr>
          <w:t xml:space="preserve">https://www.ussc.edu.au/foreign-direct-investment-screening-in-australia-the-united-states-the-united-kingdom-japan-and-the-european-union-recent-reforms</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STREAMLINING FOREIGN INVESTMENT AND CFIUS PROCESSES: WHAT YOU NEED TO KNOW - Clifford Chance, 访问时间为 四月 25, 2026， </w:t>
      </w:r>
      <w:hyperlink r:id="rId8">
        <w:r w:rsidDel="00000000" w:rsidR="00000000" w:rsidRPr="00000000">
          <w:rPr>
            <w:rFonts w:ascii="Google Sans" w:cs="Google Sans" w:eastAsia="Google Sans" w:hAnsi="Google Sans"/>
            <w:color w:val="0000ee"/>
            <w:sz w:val="24"/>
            <w:szCs w:val="24"/>
            <w:u w:val="single"/>
            <w:rtl w:val="0"/>
          </w:rPr>
          <w:t xml:space="preserve">https://www.cliffordchance.com/content/dam/cliffordchance/expertise/Antitrust/global-foreign-investment-and-cfius-brochure-2025.pdf</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Catalogue of Technologies Prohibited or Restricted from ..., 访问时间为 四月 25, 2026， </w:t>
      </w:r>
      <w:hyperlink r:id="rId9">
        <w:r w:rsidDel="00000000" w:rsidR="00000000" w:rsidRPr="00000000">
          <w:rPr>
            <w:rFonts w:ascii="Google Sans" w:cs="Google Sans" w:eastAsia="Google Sans" w:hAnsi="Google Sans"/>
            <w:color w:val="0000ee"/>
            <w:sz w:val="24"/>
            <w:szCs w:val="24"/>
            <w:u w:val="single"/>
            <w:rtl w:val="0"/>
          </w:rPr>
          <w:t xml:space="preserve">https://cset.georgetown.edu/publication/china-export-control-catalog-july-2025/</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Treasury Releases Proposed Guidance to Continue U.S. Manufacturing Boom in Batteries and Clean Vehicles, Strengthen Energy Security, 访问时间为 四月 25, 2026， </w:t>
      </w:r>
      <w:hyperlink r:id="rId10">
        <w:r w:rsidDel="00000000" w:rsidR="00000000" w:rsidRPr="00000000">
          <w:rPr>
            <w:rFonts w:ascii="Google Sans" w:cs="Google Sans" w:eastAsia="Google Sans" w:hAnsi="Google Sans"/>
            <w:color w:val="0000ee"/>
            <w:sz w:val="24"/>
            <w:szCs w:val="24"/>
            <w:u w:val="single"/>
            <w:rtl w:val="0"/>
          </w:rPr>
          <w:t xml:space="preserve">https://home.treasury.gov/news/press-releases/jy1939</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Antitrust in China – 2025 Year in Review - Gibson Dunn, 访问时间为 四月 25, 2026， </w:t>
      </w:r>
      <w:hyperlink r:id="rId11">
        <w:r w:rsidDel="00000000" w:rsidR="00000000" w:rsidRPr="00000000">
          <w:rPr>
            <w:rFonts w:ascii="Google Sans" w:cs="Google Sans" w:eastAsia="Google Sans" w:hAnsi="Google Sans"/>
            <w:color w:val="0000ee"/>
            <w:sz w:val="24"/>
            <w:szCs w:val="24"/>
            <w:u w:val="single"/>
            <w:rtl w:val="0"/>
          </w:rPr>
          <w:t xml:space="preserve">https://www.gibsondunn.com/antitrust-in-china-2025-year-in-review/</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Decree 13/2023/ND-CP personal data protection - Legal documents of Vietnamese laws, 访问时间为 四月 25, 2026， </w:t>
      </w:r>
      <w:hyperlink r:id="rId12">
        <w:r w:rsidDel="00000000" w:rsidR="00000000" w:rsidRPr="00000000">
          <w:rPr>
            <w:rFonts w:ascii="Google Sans" w:cs="Google Sans" w:eastAsia="Google Sans" w:hAnsi="Google Sans"/>
            <w:color w:val="0000ee"/>
            <w:sz w:val="24"/>
            <w:szCs w:val="24"/>
            <w:u w:val="single"/>
            <w:rtl w:val="0"/>
          </w:rPr>
          <w:t xml:space="preserve">https://english.luatvietnam.vn/decree-no-13-2023-nd-cp-dated-april-17-2023-of-the-government-on-personal-data-protection-249791-doc1.html</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Cybersecurity Regulations - UNECE Wiki, 访问时间为 四月 25, 2026， </w:t>
      </w:r>
      <w:hyperlink r:id="rId13">
        <w:r w:rsidDel="00000000" w:rsidR="00000000" w:rsidRPr="00000000">
          <w:rPr>
            <w:rFonts w:ascii="Google Sans" w:cs="Google Sans" w:eastAsia="Google Sans" w:hAnsi="Google Sans"/>
            <w:color w:val="0000ee"/>
            <w:sz w:val="24"/>
            <w:szCs w:val="24"/>
            <w:u w:val="single"/>
            <w:rtl w:val="0"/>
          </w:rPr>
          <w:t xml:space="preserve">https://wiki.unece.org/download/attachments/154665132/W2P1%20OICA.pdf?version=1&amp;modificationDate=1643908534916&amp;api=v2</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Informing Businesses about the INFORM Consumers Act - Federal Trade Commission, 访问时间为 四月 25, 2026， </w:t>
      </w:r>
      <w:hyperlink r:id="rId14">
        <w:r w:rsidDel="00000000" w:rsidR="00000000" w:rsidRPr="00000000">
          <w:rPr>
            <w:rFonts w:ascii="Google Sans" w:cs="Google Sans" w:eastAsia="Google Sans" w:hAnsi="Google Sans"/>
            <w:color w:val="0000ee"/>
            <w:sz w:val="24"/>
            <w:szCs w:val="24"/>
            <w:u w:val="single"/>
            <w:rtl w:val="0"/>
          </w:rPr>
          <w:t xml:space="preserve">https://www.ftc.gov/business-guidance/resources/INFORMAct</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Batteries Regulation Brief Overview 31 August 2023, 访问时间为 四月 25, 2026， </w:t>
      </w:r>
      <w:hyperlink r:id="rId15">
        <w:r w:rsidDel="00000000" w:rsidR="00000000" w:rsidRPr="00000000">
          <w:rPr>
            <w:rFonts w:ascii="Google Sans" w:cs="Google Sans" w:eastAsia="Google Sans" w:hAnsi="Google Sans"/>
            <w:color w:val="0000ee"/>
            <w:sz w:val="24"/>
            <w:szCs w:val="24"/>
            <w:u w:val="single"/>
            <w:rtl w:val="0"/>
          </w:rPr>
          <w:t xml:space="preserve">https://bepassociation.eu/batteries-regulation-brief-overview/</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SABER Registration | Requirements | HS code 120921 to Saudi Arabia - Go Global Toolkit, 访问时间为 四月 25, 2026， </w:t>
      </w:r>
      <w:hyperlink r:id="rId16">
        <w:r w:rsidDel="00000000" w:rsidR="00000000" w:rsidRPr="00000000">
          <w:rPr>
            <w:rFonts w:ascii="Google Sans" w:cs="Google Sans" w:eastAsia="Google Sans" w:hAnsi="Google Sans"/>
            <w:color w:val="0000ee"/>
            <w:sz w:val="24"/>
            <w:szCs w:val="24"/>
            <w:u w:val="single"/>
            <w:rtl w:val="0"/>
          </w:rPr>
          <w:t xml:space="preserve">https://export.business.gov.au/laws-and-regulations/export-rules-finder/product-requirements/120921/SAU/product-documents/reg_saber</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VAT e-Commerce - European Union, 访问时间为 四月 25, 2026， </w:t>
      </w:r>
      <w:hyperlink r:id="rId17">
        <w:r w:rsidDel="00000000" w:rsidR="00000000" w:rsidRPr="00000000">
          <w:rPr>
            <w:rFonts w:ascii="Google Sans" w:cs="Google Sans" w:eastAsia="Google Sans" w:hAnsi="Google Sans"/>
            <w:color w:val="0000ee"/>
            <w:sz w:val="24"/>
            <w:szCs w:val="24"/>
            <w:u w:val="single"/>
            <w:rtl w:val="0"/>
          </w:rPr>
          <w:t xml:space="preserve">https://vat-one-stop-shop.ec.europa.eu/index_en</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US sellers need to know about EU IOSS intermediaries - Avalara, 访问时间为 四月 25, 2026， </w:t>
      </w:r>
      <w:hyperlink r:id="rId18">
        <w:r w:rsidDel="00000000" w:rsidR="00000000" w:rsidRPr="00000000">
          <w:rPr>
            <w:rFonts w:ascii="Google Sans" w:cs="Google Sans" w:eastAsia="Google Sans" w:hAnsi="Google Sans"/>
            <w:color w:val="0000ee"/>
            <w:sz w:val="24"/>
            <w:szCs w:val="24"/>
            <w:u w:val="single"/>
            <w:rtl w:val="0"/>
          </w:rPr>
          <w:t xml:space="preserve">https://www.avalara.com/blog/en/north-america/2021/06/what-us-sellers-need-to-know-about-eu-ioss-intermediaries.html</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Time Directive - Employment, Social Affairs and Inclusion - European Union, 访问时间为 四月 25, 2026， </w:t>
      </w:r>
      <w:hyperlink r:id="rId19">
        <w:r w:rsidDel="00000000" w:rsidR="00000000" w:rsidRPr="00000000">
          <w:rPr>
            <w:rFonts w:ascii="Google Sans" w:cs="Google Sans" w:eastAsia="Google Sans" w:hAnsi="Google Sans"/>
            <w:color w:val="0000ee"/>
            <w:sz w:val="24"/>
            <w:szCs w:val="24"/>
            <w:u w:val="single"/>
            <w:rtl w:val="0"/>
          </w:rPr>
          <w:t xml:space="preserve">https://employment-social-affairs.ec.europa.eu/policies-and-activities/rights-work/labour-law/working-conditions/working-time-directive_en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ibsondunn.com/antitrust-in-china-2025-year-in-review/" TargetMode="External"/><Relationship Id="rId10" Type="http://schemas.openxmlformats.org/officeDocument/2006/relationships/hyperlink" Target="https://home.treasury.gov/news/press-releases/jy1939" TargetMode="External"/><Relationship Id="rId13" Type="http://schemas.openxmlformats.org/officeDocument/2006/relationships/hyperlink" Target="https://wiki.unece.org/download/attachments/154665132/W2P1%20OICA.pdf?version=1&amp;modificationDate=1643908534916&amp;api=v2" TargetMode="External"/><Relationship Id="rId12" Type="http://schemas.openxmlformats.org/officeDocument/2006/relationships/hyperlink" Target="https://english.luatvietnam.vn/decree-no-13-2023-nd-cp-dated-april-17-2023-of-the-government-on-personal-data-protection-249791-doc1.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et.georgetown.edu/publication/china-export-control-catalog-july-2025/" TargetMode="External"/><Relationship Id="rId15" Type="http://schemas.openxmlformats.org/officeDocument/2006/relationships/hyperlink" Target="https://bepassociation.eu/batteries-regulation-brief-overview/" TargetMode="External"/><Relationship Id="rId14" Type="http://schemas.openxmlformats.org/officeDocument/2006/relationships/hyperlink" Target="https://www.ftc.gov/business-guidance/resources/INFORMAct" TargetMode="External"/><Relationship Id="rId17" Type="http://schemas.openxmlformats.org/officeDocument/2006/relationships/hyperlink" Target="https://vat-one-stop-shop.ec.europa.eu/index_en" TargetMode="External"/><Relationship Id="rId16" Type="http://schemas.openxmlformats.org/officeDocument/2006/relationships/hyperlink" Target="https://export.business.gov.au/laws-and-regulations/export-rules-finder/product-requirements/120921/SAU/product-documents/reg_saber" TargetMode="External"/><Relationship Id="rId5" Type="http://schemas.openxmlformats.org/officeDocument/2006/relationships/styles" Target="styles.xml"/><Relationship Id="rId19" Type="http://schemas.openxmlformats.org/officeDocument/2006/relationships/hyperlink" Target="https://employment-social-affairs.ec.europa.eu/policies-and-activities/rights-work/labour-law/working-conditions/working-time-directive_en" TargetMode="External"/><Relationship Id="rId6" Type="http://schemas.openxmlformats.org/officeDocument/2006/relationships/hyperlink" Target="https://www.oceanlawfirm.com/html/2025/rdwt_0627/609.html" TargetMode="External"/><Relationship Id="rId18" Type="http://schemas.openxmlformats.org/officeDocument/2006/relationships/hyperlink" Target="https://www.avalara.com/blog/en/north-america/2021/06/what-us-sellers-need-to-know-about-eu-ioss-intermediaries.html" TargetMode="External"/><Relationship Id="rId7" Type="http://schemas.openxmlformats.org/officeDocument/2006/relationships/hyperlink" Target="https://www.ussc.edu.au/foreign-direct-investment-screening-in-australia-the-united-states-the-united-kingdom-japan-and-the-european-union-recent-reforms" TargetMode="External"/><Relationship Id="rId8" Type="http://schemas.openxmlformats.org/officeDocument/2006/relationships/hyperlink" Target="https://www.cliffordchance.com/content/dam/cliffordchance/expertise/Antitrust/global-foreign-investment-and-cfius-brochure-202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