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根据各项法规的最新实验室报价及各成员国的执法标准，以下是为您提取并量化的乒乓球拍各零部件合规成本、违法罚款以及回本临界点的详细数据分析表。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（注：回本临界点估算基于报告中的财务模型，即完全合规的高端品牌球拍单支预期净利润约为129美元计算。）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零部件名称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合规要求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对应法规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满足合规的成本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违法罚款（基于该零件违规）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销量的回本临界点估算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底板 (Blade)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甲醛释放量不高于0.062 mg/m3；木材具备合法林地溯源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REACH 附件XVII第77项；EUTR/EUDR无毁林法规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 717-1气候舱测试费约1035至1247美元，另加105美元服务费 ；MDI无醛胶水及FSC木材带来15%-30%的材料溢价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若违反REACH限制，在德国最高可被处以50000欧元的行政罚款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测试与服务费合计约1350美元。约需销售11支合规球拍即可覆盖该项固定测试支出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胶皮与海绵 (Rubber &amp; Sponge)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8种高危多环芳烃(PAHs)单项含量不得超过1 mg/kg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REACH 附件XVII第50项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环保环烷油替代研发费；针对PAHs的GC-MS单样本测试费约184欧元，另加97欧元服务费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在法国，此类REACH违规最高面临15000欧元罚款，并在整改前加处每日1500欧元的滞纳金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实验室测试固定费用约300美元。仅需销售3支合规球拍即可完全收回测试成本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粘合剂 (Glue)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禁用挥发性有机溶剂(VOC)；游离MIT防腐剂低于15 ppm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ITTF器材标准；BPR生物杀灭剂法规；CLP法规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采购高纯度复配防腐助剂的精细化工溢价（单支成本微量增加）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隐性代价极大：一旦超标被强制标注“H317致敏危险品”标签，直接导致消费端拒买和整批库存报废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无大额固定检测费，单件材料溢价极低，计入制造成本后依靠产品正常销量瞬间对冲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护边 (Edge Tape)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铅含量低于0.1%；4种受限邻苯二甲酸酯总和低于0.1%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REACH 附件XVII第63项(铅)及第51项(增塑剂)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环保钙锌稳定剂比传统铅盐成本高10%-30% ；邻苯二甲酸酯单项测试费约278美元加105美元服务费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触发Safety Gate全网通报，面临海关扣押销毁，且高昂的仓储与集中销毁账单将强制转嫁给责任方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测试费合计约380美元。约需销售3至4支合规球拍即可覆盖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包装与标签 (Packaging &amp; Labeling)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必须指定欧盟境内责任人(EU Rep)；印制Triman环保分类标识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GPSR通用产品安全法规；法国EPR包装废弃物指令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欧盟责任人基础服务费约每年150至500欧元 ；法国Citeo(EPR)小微固定年费110欧元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违反GPSR法规，在德国及芬兰等成员国，违规企业最高可面临100000欧元的重罚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行政代理与环保年费合计约600美元。每年仅需多销售5支高毛利合规球拍即可收回全年行政规费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综合经济学总结：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如果将一支乒乓球拍从“裸奔”状态升级为全面合规状态，其产生的所有固定测试费用和年度行政规费总和大约在2600至2800美元之间。以欧洲市场专业级品牌球拍129美元的丰厚单件净利润来衡量，企业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仅仅需要销售约22支球拍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，就能跨越所有合规投入的盈亏平衡点（回本临界点）。这与面临动辄数万欧元的司法罚单以及库存全毁的风险相比，合规投入是一项具有极高杠杆率的护城河投资。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