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火鹰合规 - 第二届星瀚杯法律AI应用赛道参赛报告</w:t>
      </w:r>
    </w:p>
    <w:p>
      <w:pPr>
        <w:jc w:val="center"/>
      </w:pPr>
      <w:r>
        <w:rPr>
          <w:color w:val="0066CC"/>
          <w:sz w:val="28"/>
        </w:rPr>
        <w:t>赛道：法律AI应用 · 出海合规智能助手</w:t>
      </w:r>
    </w:p>
    <w:p>
      <w:pPr>
        <w:jc w:val="center"/>
      </w:pPr>
      <w:r>
        <w:rPr>
          <w:color w:val="808080"/>
          <w:sz w:val="20"/>
        </w:rPr>
        <w:t>报告日期：2026年05月16日</w:t>
      </w:r>
    </w:p>
    <w:p/>
    <w:p>
      <w:pPr>
        <w:pStyle w:val="Heading1"/>
      </w:pPr>
      <w:r>
        <w:t>一、参赛团队信息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wang</w:t>
            </w:r>
          </w:p>
        </w:tc>
      </w:tr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队长 / 全栈开发</w:t>
            </w:r>
          </w:p>
        </w:tc>
      </w:tr>
      <w:tr>
        <w:tc>
          <w:tcPr>
            <w:tcW w:type="dxa" w:w="4320"/>
          </w:tcPr>
          <w:p>
            <w:r>
              <w:t>学院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班级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二、产品名称</w:t>
      </w:r>
    </w:p>
    <w:p>
      <w:r>
        <w:rPr>
          <w:b/>
          <w:color w:val="CC3333"/>
          <w:sz w:val="28"/>
        </w:rPr>
        <w:t>火鹰合规（Blaze Hawks）</w:t>
      </w:r>
    </w:p>
    <w:p/>
    <w:p>
      <w:pPr>
        <w:pStyle w:val="Heading1"/>
      </w:pPr>
      <w:r>
        <w:t>三、选题方向</w:t>
      </w:r>
    </w:p>
    <w:p>
      <w:r>
        <w:rPr>
          <w:b/>
        </w:rPr>
        <w:t>方向9：涉外与出海业务智能助手</w:t>
      </w:r>
    </w:p>
    <w:p>
      <w:r>
        <w:t>随着企业"出海"步伐加快，业务场景从国内延伸至全球，面临法律环境复杂、语言壁垒高、数据跨境合规难等挑战。本产品正是针对这一需求，为跨境电商卖家提供一站式出海合规解决方案。</w:t>
      </w:r>
    </w:p>
    <w:p>
      <w:r>
        <w:rPr>
          <w:b/>
        </w:rPr>
        <w:t>方向1：新法新规信息抓取与报告生成</w:t>
      </w:r>
    </w:p>
    <w:p>
      <w:r>
        <w:t>产品内置多市场法规知识库（EU、US、UK、CN、AU、SA、AE 等 16+ 市场），自动追踪法规更新，生成合规报告。</w:t>
      </w:r>
    </w:p>
    <w:p>
      <w:r>
        <w:rPr>
          <w:b/>
        </w:rPr>
        <w:t>方向3：特定类型合同审核</w:t>
      </w:r>
    </w:p>
    <w:p>
      <w:r>
        <w:t>产品支持对出口产品的合规性进行自动审核，结合目标市场的法规要求，生成风险提示和整改建议。</w:t>
      </w:r>
    </w:p>
    <w:p/>
    <w:p>
      <w:pPr>
        <w:pStyle w:val="Heading1"/>
      </w:pPr>
      <w:r>
        <w:t>四、核心技术架构</w:t>
      </w:r>
    </w:p>
    <w:p>
      <w:pPr>
        <w:pStyle w:val="Heading2"/>
      </w:pPr>
      <w:r>
        <w:t>4.1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前端（Next.js 16）</w:t>
            </w:r>
          </w:p>
        </w:tc>
        <w:tc>
          <w:tcPr>
            <w:tcW w:type="dxa" w:w="4320"/>
          </w:tcPr>
          <w:p>
            <w:r>
              <w:t>Next.js 16.2.4 + React 19.2.4 + TypeScript + Tailwind CSS 4.x</w:t>
            </w:r>
          </w:p>
        </w:tc>
      </w:tr>
      <w:tr>
        <w:tc>
          <w:tcPr>
            <w:tcW w:type="dxa" w:w="4320"/>
          </w:tcPr>
          <w:p>
            <w:r>
              <w:t>后端（RAG Service）</w:t>
            </w:r>
          </w:p>
        </w:tc>
        <w:tc>
          <w:tcPr>
            <w:tcW w:type="dxa" w:w="4320"/>
          </w:tcPr>
          <w:p>
            <w:r>
              <w:t>FastAPI + Python 3.10+ + LangGraph 1.1.6</w:t>
            </w:r>
          </w:p>
        </w:tc>
      </w:tr>
      <w:tr>
        <w:tc>
          <w:tcPr>
            <w:tcW w:type="dxa" w:w="4320"/>
          </w:tcPr>
          <w:p>
            <w:r>
              <w:t>向量检索</w:t>
            </w:r>
          </w:p>
        </w:tc>
        <w:tc>
          <w:tcPr>
            <w:tcW w:type="dxa" w:w="4320"/>
          </w:tcPr>
          <w:p>
            <w:r>
              <w:t>FAISS（6509+ 向量）+ BM25（jieba 中文分词）+ RRF 融合</w:t>
            </w:r>
          </w:p>
        </w:tc>
      </w:tr>
      <w:tr>
        <w:tc>
          <w:tcPr>
            <w:tcW w:type="dxa" w:w="4320"/>
          </w:tcPr>
          <w:p>
            <w:r>
              <w:t>AI 服务</w:t>
            </w:r>
          </w:p>
        </w:tc>
        <w:tc>
          <w:tcPr>
            <w:tcW w:type="dxa" w:w="4320"/>
          </w:tcPr>
          <w:p>
            <w:r>
              <w:t>LLM: mimoTalk mimo-v2.5 | Embedding: Ollama nomic-embed-text</w:t>
            </w:r>
          </w:p>
        </w:tc>
      </w:tr>
    </w:tbl>
    <w:p/>
    <w:p>
      <w:pPr>
        <w:pStyle w:val="Heading2"/>
      </w:pPr>
      <w:r>
        <w:t>4.2 RAG 架构亮点</w:t>
      </w:r>
    </w:p>
    <w:p>
      <w:r>
        <w:rPr>
          <w:b/>
        </w:rPr>
        <w:t>• 多层检索 + 动态降级：</w:t>
      </w:r>
      <w:r>
        <w:t>优先级1: Ollama 本地 Embedding（零费用）→ 优先级2: ModelScope Qwen3-Embedding（云端）→ 优先级3: BM25 纯稀疏检索（离线模式）</w:t>
      </w:r>
    </w:p>
    <w:p>
      <w:r>
        <w:rPr>
          <w:b/>
        </w:rPr>
        <w:t>• Parent-Child 双层分块：</w:t>
      </w:r>
      <w:r>
        <w:t>Child Chunk（200-300 tokens）：精确向量检索 | Parent Chunk（800-1000 tokens）：LLM 完整上下文 | Contextual Prepending：法规名 + 条款编号前缀</w:t>
      </w:r>
    </w:p>
    <w:p>
      <w:r>
        <w:rPr>
          <w:b/>
        </w:rPr>
        <w:t>• Must-Check 强制注入：</w:t>
      </w:r>
      <w:r>
        <w:t>不同产品类别强制检查特定法规，例如：电子产品强制检查 RoHS、REACH</w:t>
      </w:r>
    </w:p>
    <w:p>
      <w:r>
        <w:rPr>
          <w:b/>
        </w:rPr>
        <w:t>• NLI 引用验证软门：</w:t>
      </w:r>
      <w:r>
        <w:t>归因分数 &gt;= 0.9：PASS | 归因分数 0.5-0.9：WARN | 存在矛盾：REJECTED，触发重生成</w:t>
      </w:r>
    </w:p>
    <w:p/>
    <w:p>
      <w:pPr>
        <w:pStyle w:val="Heading1"/>
      </w:pPr>
      <w:r>
        <w:t>五、新增功能（本次迭代）</w:t>
      </w:r>
    </w:p>
    <w:p>
      <w:pPr>
        <w:pStyle w:val="Heading2"/>
      </w:pPr>
      <w:r>
        <w:t>5.1 中英双语界面支持</w:t>
      </w:r>
    </w:p>
    <w:p>
      <w:r>
        <w:t>为满足国际化需求，新增了完整的 i18n 国际化系统：</w:t>
      </w:r>
    </w:p>
    <w:p>
      <w:r>
        <w:t>• TranslationProvider 上下文管理，支持 zh/en 切换</w:t>
      </w:r>
    </w:p>
    <w:p>
      <w:r>
        <w:t>• LanguageSwitcher 组件，右上角快速切换语言</w:t>
      </w:r>
    </w:p>
    <w:p>
      <w:r>
        <w:t>• 所有 UI 文本均支持中英双语，包括首页、上传页、扫描页、结果页、法规追踪页</w:t>
      </w:r>
    </w:p>
    <w:p>
      <w:r>
        <w:t>• 语言首选项保存至 localStorage，自动记忆用户选择</w:t>
      </w:r>
    </w:p>
    <w:p>
      <w:pPr>
        <w:pStyle w:val="Heading2"/>
      </w:pPr>
      <w:r>
        <w:t>5.2 实时法规追踪功能</w:t>
      </w:r>
    </w:p>
    <w:p>
      <w:r>
        <w:t>新增法规更新追踪功能，让用户能监控目标市场的法规变化：</w:t>
      </w:r>
    </w:p>
    <w:p>
      <w:r>
        <w:t>• API 端点 /api/regulations/updates，支持按市场和关键词筛选</w:t>
      </w:r>
    </w:p>
    <w:p>
      <w:r>
        <w:t>• 法规追踪页面 /regulations，显示最近更新的法规列表</w:t>
      </w:r>
    </w:p>
    <w:p>
      <w:r>
        <w:t>• 支持 8 个市场：EU、US、UK、CN、AU、SA、AE（模拟数据）</w:t>
      </w:r>
    </w:p>
    <w:p>
      <w:r>
        <w:t>• 法规卡片展示发布日期、生效日期、影响类别、可展开查看详情</w:t>
      </w:r>
    </w:p>
    <w:p>
      <w:r>
        <w:t>• 即将生效（30天内）的法规显示紧急标识</w:t>
      </w:r>
    </w:p>
    <w:p>
      <w:r>
        <w:t>• 首页添加法规追踪入口，显示法规更新数量</w:t>
      </w:r>
    </w:p>
    <w:p/>
    <w:p>
      <w:pPr>
        <w:pStyle w:val="Heading1"/>
      </w:pPr>
      <w:r>
        <w:t>六、项目测试验证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测试类型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Build 测试</w:t>
            </w:r>
          </w:p>
        </w:tc>
        <w:tc>
          <w:tcPr>
            <w:tcW w:type="dxa" w:w="4320"/>
          </w:tcPr>
          <w:p>
            <w:r>
              <w:t>✅ 通过（npm run build）</w:t>
            </w:r>
          </w:p>
        </w:tc>
      </w:tr>
      <w:tr>
        <w:tc>
          <w:tcPr>
            <w:tcW w:type="dxa" w:w="4320"/>
          </w:tcPr>
          <w:p>
            <w:r>
              <w:t>单元测试</w:t>
            </w:r>
          </w:p>
        </w:tc>
        <w:tc>
          <w:tcPr>
            <w:tcW w:type="dxa" w:w="4320"/>
          </w:tcPr>
          <w:p>
            <w:r>
              <w:t>✅ 174 个测试全部通过（npm run test）</w:t>
            </w:r>
          </w:p>
        </w:tc>
      </w:tr>
      <w:tr>
        <w:tc>
          <w:tcPr>
            <w:tcW w:type="dxa" w:w="4320"/>
          </w:tcPr>
          <w:p>
            <w:r>
              <w:t>API 功能</w:t>
            </w:r>
          </w:p>
        </w:tc>
        <w:tc>
          <w:tcPr>
            <w:tcW w:type="dxa" w:w="4320"/>
          </w:tcPr>
          <w:p>
            <w:r>
              <w:t>✅ /api/regulations/updates 正常返回数据</w:t>
            </w:r>
          </w:p>
        </w:tc>
      </w:tr>
      <w:tr>
        <w:tc>
          <w:tcPr>
            <w:tcW w:type="dxa" w:w="4320"/>
          </w:tcPr>
          <w:p>
            <w:r>
              <w:t>国际化</w:t>
            </w:r>
          </w:p>
        </w:tc>
        <w:tc>
          <w:tcPr>
            <w:tcW w:type="dxa" w:w="4320"/>
          </w:tcPr>
          <w:p>
            <w:r>
              <w:t>✅ LanguageSwitcher 正常工作</w:t>
            </w:r>
          </w:p>
        </w:tc>
      </w:tr>
    </w:tbl>
    <w:p/>
    <w:p>
      <w:pPr>
        <w:pStyle w:val="Heading1"/>
      </w:pPr>
      <w:r>
        <w:t>七、Git 分支管理</w:t>
      </w:r>
    </w:p>
    <w:p>
      <w:r>
        <w:t>本次迭代创建了以下分支：</w:t>
      </w:r>
    </w:p>
    <w:p>
      <w:r>
        <w:t>• i18n-english-support：英文界面支持功能，已合并至 develop</w:t>
      </w:r>
    </w:p>
    <w:p>
      <w:r>
        <w:t>• regulation-tracker：实时法规追踪功能，已合并至 develop</w:t>
      </w:r>
    </w:p>
    <w:p>
      <w:r>
        <w:t>• develop：主开发分支，已包含所有新功能</w:t>
      </w:r>
    </w:p>
    <w:p/>
    <w:p>
      <w:pPr>
        <w:pStyle w:val="Heading1"/>
      </w:pPr>
      <w:r>
        <w:t>八、核心价值主张</w:t>
      </w:r>
    </w:p>
    <w:p>
      <w:r>
        <w:rPr>
          <w:b/>
          <w:color w:val="CC3333"/>
          <w:sz w:val="28"/>
        </w:rPr>
        <w:t>"想出海？先烧毁。" —— 用 AI 的火眼金睛，先把合规风险"烧掉"。</w:t>
      </w:r>
    </w:p>
    <w:p>
      <w:r>
        <w:t>核心创新点：</w:t>
      </w:r>
    </w:p>
    <w:p>
      <w:r>
        <w:t>• 针对跨境电商场景的多市场合规检查</w:t>
      </w:r>
    </w:p>
    <w:p>
      <w:r>
        <w:t>• LangGraph Agentic RAG + NLI 引用验证</w:t>
      </w:r>
    </w:p>
    <w:p>
      <w:r>
        <w:t>• 合规报告 + 成本利润对比一体化</w:t>
      </w:r>
    </w:p>
    <w:p>
      <w:r>
        <w:t>• 三级降级策略，高可用性保障</w:t>
      </w:r>
    </w:p>
    <w:p>
      <w:r>
        <w:t>• 中英双语界面，支持国际化</w:t>
      </w:r>
    </w:p>
    <w:p>
      <w:r>
        <w:t>• 实时法规追踪，紧跟政策变化</w:t>
      </w:r>
    </w:p>
    <w:p/>
    <w:p>
      <w:pPr>
        <w:pStyle w:val="Heading1"/>
      </w:pPr>
      <w:r>
        <w:t>九、未来发展规划</w:t>
      </w:r>
    </w:p>
    <w:p>
      <w:r>
        <w:rPr>
          <w:b/>
        </w:rPr>
        <w:t>短期（1-3个月）：</w:t>
      </w:r>
      <w:r>
        <w:t>用户系统与权限管理、团队协作功能、历史扫描记录</w:t>
      </w:r>
    </w:p>
    <w:p>
      <w:r>
        <w:rPr>
          <w:b/>
        </w:rPr>
        <w:t>中期（3-6个月）：</w:t>
      </w:r>
      <w:r>
        <w:t>实时法规更新推送、更多市场覆盖、供应商合规管理模块</w:t>
      </w:r>
    </w:p>
    <w:p>
      <w:r>
        <w:rPr>
          <w:b/>
        </w:rPr>
        <w:t>长期（6-12个月）：</w:t>
      </w:r>
      <w:r>
        <w:t>移动端 APP（iOS/Android）、多语言支持（中/英/日/韩）、企业级 API 服务（SaaS）</w:t>
      </w:r>
    </w:p>
    <w:p/>
    <w:p>
      <w:pPr>
        <w:pStyle w:val="Heading1"/>
      </w:pPr>
      <w:r>
        <w:t>十、联系方式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团队</w:t>
            </w:r>
          </w:p>
        </w:tc>
        <w:tc>
          <w:tcPr>
            <w:tcW w:type="dxa" w:w="4320"/>
          </w:tcPr>
          <w:p>
            <w:r>
              <w:t>wang（队长）</w:t>
            </w:r>
          </w:p>
        </w:tc>
      </w:tr>
      <w:tr>
        <w:tc>
          <w:tcPr>
            <w:tcW w:type="dxa" w:w="4320"/>
          </w:tcPr>
          <w:p>
            <w:r>
              <w:t>演示地址</w:t>
            </w:r>
          </w:p>
        </w:tc>
        <w:tc>
          <w:tcPr>
            <w:tcW w:type="dxa" w:w="4320"/>
          </w:tcPr>
          <w:p>
            <w:r>
              <w:t>本地部署 http://localhost:3000</w:t>
            </w:r>
          </w:p>
        </w:tc>
      </w:tr>
      <w:tr>
        <w:tc>
          <w:tcPr>
            <w:tcW w:type="dxa" w:w="4320"/>
          </w:tcPr>
          <w:p>
            <w:r>
              <w:t>技术栈</w:t>
            </w:r>
          </w:p>
        </w:tc>
        <w:tc>
          <w:tcPr>
            <w:tcW w:type="dxa" w:w="4320"/>
          </w:tcPr>
          <w:p>
            <w:r>
              <w:t>Next.js + FastAPI + LangGraph + FAISS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