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欧盟合规框架下的乒乓球拍全组件拆解与技术合规深度分析报告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引言：竞技物理学与欧盟化学安全法规的复杂交汇</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现代高级竞技体育器材的范畴中，乒乓球拍是一个极具代表性的高精密工程复合体。从表观上看，它仅仅是由木材、橡胶和粘合剂组装而成的简单运动器械；但在全球化贸易与极度严苛的监管体系下，一支合格的乒乓球拍实际上是运动物理学、材料热力学、高分子化学以及毒理学法规相互妥协与精准控制的产物。尤其是在试图进入欧洲联盟（EU）这一全球标准最为严苛的消费市场时，乒乓球拍的每一个微小组件都必须经受国际乒乓球联合会（ITTF）竞技标准与欧盟庞大的化学品、环境保护及消费者安全合规框架的双重审视。</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本研究报告将基于深度拆解的分析逻辑，将乒乓球拍从物理结构上剥离为底板（Blade）、胶皮与海绵（Rubber &amp; Sponge）、粘合剂（Glue）以及护边（Edge Tape）四个核心实体零件，并辅以包装与印刷标签（Packaging &amp; Labeling）这一关键信息组件。报告将穷尽式地剖析上述组件在温度耐受度、微观尺寸限制、印刷标识排版等维度的具体技术细节，并将其精准映射至欧盟《化学品注册、评估、许可和限制》（REACH）法规、《通用产品安全法规》（GPSR）、《欧盟生物杀灭剂法规》（BPR）等具体法律条款之中。通过揭示这些冰冷合规数据背后的材料衰变机理与化学毒理学影响，本报告旨在为体育器材制造商、材料科学家及跨境合规审核机构提供一份全景式、具备深度的技术合规实施路径。</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一、 底板（Blade）组件：物理形态、木材溯源与甲醛释放的极限约束</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底板作为乒乓球拍的骨架支撑系统，决定了球拍的震动频率、力学传递效率以及整体刚性。在欧盟及国际赛事的合规框架下，底板组件所面临的挑战集中在物理厚度比例的极端精确性、上游林业供应链的合法溯源，以及制造过程中粘合剂散发的致命微量化学物质释放控制。</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物理尺寸比例与ITTF的严苛结构规制</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在宏观尺寸层面，国际乒乓球联合会（ITTF）的规则设定展现出了一种看似宽容实则极度严格的辩证逻辑。根据ITTF最新版器材手册的相关条款，乒乓球拍的整体大小、形状和重量原则上不受任何强制性限制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。这种理论上的无限制意味着，极端情况下制造一把如同网球拍大小的乒乓球底板在条文定义上并不违规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。然而，法规同时赋予了底板一个不可逾越的物理定性前提：底板必须保持绝对的平坦（Flat）且坚硬（Rigid）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。在这里，“坚硬”不仅适用于击球板面，也同样涵盖了拍柄的整体力学结构，除了表面的橡胶覆盖物外，球拍的任何主体部分均不允许存在弹性形变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在微观厚度与材质比例的界定上，法规展现了工程学级别的精确度。底板厚度的至少85%必须由天然木材（Natural wood）构成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法规对于“天然木材”的解释强调了材料必须在整个底板内部保持物理连续性，这在工艺上允许了多层实木胶合板（Plywood）的广泛使用，但从根本上直接排除了刨花板（Particle-board）、碎屑板或其它木纤维复合板材在竞技级底板中的合法地位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对于旨在提升底板弹性与“甜区”面积的各类高科技增强型粘合层（例如广泛应用在现代底板中的碳纤维、玻璃纤维或高密度压缩纸），ITTF设定了极为严苛的双重限制：这类非木质纤维材料的总厚度绝对不允许超过底板总厚度的7.5%，或者其绝对厚度不得超过0.35毫米，两者判定时必须以较小的值为准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。这一技术红线直接决定了底板制造工艺的上限，制造商必须研发出极薄的碳纤维编织涂布技术，一旦在赛前器材抽检中发现碳素层厚度超标哪怕几微米，该球拍将被立即判定为非法器材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欧盟木材溯源法规（EUTR）与反毁林合规要求</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底板的核心材料为天然木材，当这类木材产品跨越欧盟海关边界时，便无可避免地落入《欧盟木材法规》（EUTR，Regulation (EU) No 995/2010）的强力司法管辖权之内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。欧盟出台此项法规的核心政治与生态诉求是彻底阻断全球非法采伐的木材及衍生木制品进入欧洲单一市场。</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根据法规规定，首次将乒乓球底板（或其木材半成品）投放至欧盟市场的经营者（Operator）承担着不可推卸的“尽职调查”（Due Diligence）义务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这要求制造商和进口商建立一套完整、透明的供应链追溯系统，必须能够向欧盟监管机构提供详尽的信息矩阵，包括底板所用木材的具体树种（植物学学名）、木材的采伐国别、以及在非极低风险国家还需要提供具体的采伐区域乃至采伐特许权证书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更为严峻的产业趋势是，欧盟正逐步启动《无毁林产品法规》（EUDR）以取代现有的EUTR。新法规将木材及衍生品纳入了更为极端的地质空间定位（Geolocation）追踪体系中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这意味着传统的纸质证明将不再充分，乒乓球底板供应链中的每一种木材（如常用的阿尤斯、林巴、桧木等）都必须能够溯源至其原产林地的具体地理坐标。尽管森林管理委员会（FSC）或PEFC的产销监管链认证能够作为尽职调查体系中的有效风险缓解工具，但在执法实践中，认证本身并不等同于自动获取合法性豁免，欧盟的主管部门依然会针对具体的原木来源合法性与合规声明的真实性进行穿透式审查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REACH法规下的甲醛释放限量与测试温度条件</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乒乓球底板本质上是多层木材通过特定粘合剂加压粘合而成的层压板材。在传统的木材加工工艺中，脲醛树脂（Urea-formaldehyde）等含甲醛的粘合剂因其优异的初始粘接强度与低廉的成本而被广泛使用。然而，甲醛作为一种明确的致癌物及高活性有机化合物，其在室温条件下的持续挥发特性，使得底板成为了欧盟化学合规监控的重灾区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根据欧盟《化学品注册、评估、许可和限制》（REACH）法规附件XVII新增的第77项规定（由Commission Regulation (EU) 2023/1464修订），自2026年8月6日起，在欧盟市场流通的木基物品及家具等产品将面临史上最为严苛的甲醛释放限量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。这一法规的实施，标志着长久以来普遍适用的“E1级”木材标准将被彻底颠覆。</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评估标准体系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适用的测试方法标准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甲醛释放量限值与测试环境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传统欧盟E1级标准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EN 13986 (采用EN 717-1 气候舱法)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Pr>
              <w:drawing>
                <wp:inline distB="19050" distT="19050" distL="19050" distR="19050">
                  <wp:extent cx="1072972" cy="199402"/>
                  <wp:effectExtent b="0" l="0" r="0" t="0"/>
                  <wp:docPr id="36"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1072972" cy="199402"/>
                          </a:xfrm>
                          <a:prstGeom prst="rect"/>
                          <a:ln/>
                        </pic:spPr>
                      </pic:pic>
                    </a:graphicData>
                  </a:graphic>
                </wp:inline>
              </w:drawing>
            </w:r>
            <w:r w:rsidDel="00000000" w:rsidR="00000000" w:rsidRPr="00000000">
              <w:rPr>
                <w:rFonts w:ascii="Arial Unicode MS" w:cs="Arial Unicode MS" w:eastAsia="Arial Unicode MS" w:hAnsi="Arial Unicode MS"/>
                <w:color w:val="1f1f1f"/>
                <w:shd w:fill="auto" w:val="clear"/>
                <w:rtl w:val="0"/>
              </w:rPr>
              <w:t xml:space="preserve"> (或等同于 </w:t>
            </w:r>
            <w:r w:rsidDel="00000000" w:rsidR="00000000" w:rsidRPr="00000000">
              <w:rPr>
                <w:rFonts w:ascii="Arial" w:cs="Arial" w:eastAsia="Arial" w:hAnsi="Arial"/>
                <w:color w:val="1f1f1f"/>
                <w:shd w:fill="auto" w:val="clear"/>
              </w:rPr>
              <w:drawing>
                <wp:inline distB="19050" distT="19050" distL="19050" distR="19050">
                  <wp:extent cx="560487" cy="189996"/>
                  <wp:effectExtent b="0" l="0" r="0" t="0"/>
                  <wp:docPr id="38"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560487" cy="189996"/>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REACH 附件XVII 第77项 (2026年生效)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REACH 附录14 (高度对应 EN 717-1 规范)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Pr>
              <w:drawing>
                <wp:inline distB="19050" distT="19050" distL="19050" distR="19050">
                  <wp:extent cx="1072972" cy="199402"/>
                  <wp:effectExtent b="0" l="0" r="0" t="0"/>
                  <wp:docPr id="37"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1072972" cy="199402"/>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德国国家特别限制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结合 EN 16516 变体与 EN 717-1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在EN 717-1实测值基础上乘以 </w:t>
            </w:r>
            <w:r w:rsidDel="00000000" w:rsidR="00000000" w:rsidRPr="00000000">
              <w:rPr>
                <w:rFonts w:ascii="Arial" w:cs="Arial" w:eastAsia="Arial" w:hAnsi="Arial"/>
                <w:color w:val="1f1f1f"/>
                <w:shd w:fill="auto" w:val="clear"/>
              </w:rPr>
              <w:drawing>
                <wp:inline distB="19050" distT="19050" distL="19050" distR="19050">
                  <wp:extent cx="206275" cy="187523"/>
                  <wp:effectExtent b="0" l="0" r="0" t="0"/>
                  <wp:docPr id="40"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206275" cy="187523"/>
                          </a:xfrm>
                          <a:prstGeom prst="rect"/>
                          <a:ln/>
                        </pic:spPr>
                      </pic:pic>
                    </a:graphicData>
                  </a:graphic>
                </wp:inline>
              </w:drawing>
            </w:r>
            <w:r w:rsidDel="00000000" w:rsidR="00000000" w:rsidRPr="00000000">
              <w:rPr>
                <w:rFonts w:ascii="Arial Unicode MS" w:cs="Arial Unicode MS" w:eastAsia="Arial Unicode MS" w:hAnsi="Arial Unicode MS"/>
                <w:color w:val="1f1f1f"/>
                <w:shd w:fill="auto" w:val="clear"/>
                <w:rtl w:val="0"/>
              </w:rPr>
              <w:t xml:space="preserve"> 进行校准 </w:t>
            </w:r>
            <w:r w:rsidDel="00000000" w:rsidR="00000000" w:rsidRPr="00000000">
              <w:rPr>
                <w:rFonts w:ascii="Arial" w:cs="Arial" w:eastAsia="Arial" w:hAnsi="Arial"/>
                <w:color w:val="444746"/>
                <w:sz w:val="24"/>
                <w:szCs w:val="24"/>
                <w:vertAlign w:val="superscript"/>
                <w:rtl w:val="0"/>
              </w:rPr>
              <w:t xml:space="preserve">15</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深入剖析REACH法规所指定的合规测试路径，欧盟要求必须采用欧洲标准环境舱法（如EN 717-1）进行严格的动态浓度测定。为了确保测试结果的法律效力，气候舱内的测试环境温度必须被恒定控制在 </w:t>
      </w:r>
      <w:r w:rsidDel="00000000" w:rsidR="00000000" w:rsidRPr="00000000">
        <w:rPr>
          <w:rFonts w:ascii="Arial" w:cs="Arial" w:eastAsia="Arial" w:hAnsi="Arial"/>
          <w:color w:val="1f1f1f"/>
        </w:rPr>
        <w:drawing>
          <wp:inline distB="19050" distT="19050" distL="19050" distR="19050">
            <wp:extent cx="995886" cy="218147"/>
            <wp:effectExtent b="0" l="0" r="0" t="0"/>
            <wp:docPr id="39"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995886" cy="21814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，相对湿度维持在 </w:t>
      </w:r>
      <w:r w:rsidDel="00000000" w:rsidR="00000000" w:rsidRPr="00000000">
        <w:rPr>
          <w:rFonts w:ascii="Arial" w:cs="Arial" w:eastAsia="Arial" w:hAnsi="Arial"/>
          <w:color w:val="1f1f1f"/>
        </w:rPr>
        <w:drawing>
          <wp:inline distB="19050" distT="19050" distL="19050" distR="19050">
            <wp:extent cx="799207" cy="218830"/>
            <wp:effectExtent b="0" l="0" r="0" t="0"/>
            <wp:docPr id="44"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799207" cy="21883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，空气交换率被精确设定为 </w:t>
      </w:r>
      <w:r w:rsidDel="00000000" w:rsidR="00000000" w:rsidRPr="00000000">
        <w:rPr>
          <w:rFonts w:ascii="Arial" w:cs="Arial" w:eastAsia="Arial" w:hAnsi="Arial"/>
          <w:color w:val="1f1f1f"/>
        </w:rPr>
        <w:drawing>
          <wp:inline distB="19050" distT="19050" distL="19050" distR="19050">
            <wp:extent cx="1111891" cy="218577"/>
            <wp:effectExtent b="0" l="0" r="0" t="0"/>
            <wp:docPr id="43"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1111891" cy="21857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，且样品的装载率必须为 </w:t>
      </w:r>
      <w:r w:rsidDel="00000000" w:rsidR="00000000" w:rsidRPr="00000000">
        <w:rPr>
          <w:rFonts w:ascii="Arial" w:cs="Arial" w:eastAsia="Arial" w:hAnsi="Arial"/>
          <w:color w:val="1f1f1f"/>
        </w:rPr>
        <w:drawing>
          <wp:inline distB="19050" distT="19050" distL="19050" distR="19050">
            <wp:extent cx="1428226" cy="218995"/>
            <wp:effectExtent b="0" l="0" r="0" t="0"/>
            <wp:docPr id="49"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1428226" cy="21899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。在如此精确的环境模拟下，带有部分密封边缘的底板样品被悬挂在舱内，空气以 </w:t>
      </w:r>
      <w:r w:rsidDel="00000000" w:rsidR="00000000" w:rsidRPr="00000000">
        <w:rPr>
          <w:rFonts w:ascii="Arial" w:cs="Arial" w:eastAsia="Arial" w:hAnsi="Arial"/>
          <w:color w:val="1f1f1f"/>
        </w:rPr>
        <w:drawing>
          <wp:inline distB="19050" distT="19050" distL="19050" distR="19050">
            <wp:extent cx="1061295" cy="219908"/>
            <wp:effectExtent b="0" l="0" r="0" t="0"/>
            <wp:docPr id="47"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1061295" cy="21990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的流速均匀扫过样品表面。测试机构每天必须至少进行两次空气抽样，直至舱内甲醛浓度达到稳态（连续4天内的浓度下降幅度低于或等于5%），整个测试周期通常耗时10至28天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REACH第77项新规直接将现行的甲醛允许释放量直接减半，降至 </w:t>
      </w:r>
      <w:r w:rsidDel="00000000" w:rsidR="00000000" w:rsidRPr="00000000">
        <w:rPr>
          <w:rFonts w:ascii="Arial" w:cs="Arial" w:eastAsia="Arial" w:hAnsi="Arial"/>
          <w:color w:val="1f1f1f"/>
        </w:rPr>
        <w:drawing>
          <wp:inline distB="19050" distT="19050" distL="19050" distR="19050">
            <wp:extent cx="1031672" cy="229260"/>
            <wp:effectExtent b="0" l="0" r="0" t="0"/>
            <wp:docPr id="54"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1031672" cy="22926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这一断崖式的限值收缩对乒乓球底板的生产工艺提出了根本性挑战。制造商不能再依靠长期的通风散气来规避超标风险，必须从底层材料学出发，将生产线全面升级至无醛添加（NAF）工艺，或转而采用改性异氰酸酯（MDI）类粘合剂。若未能在2026年的法规过渡期内完成这一化学工艺的代际转换，其产品将全面丧失进入欧盟单一市场的资格。</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二、 胶皮与海绵（Rubber &amp; Sponge）：动态尺寸、热衰减极限与多环芳烃（PAHs）管控</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胶皮与海绵系统是乒乓球拍中唯一直接接触球体的部件，其摩擦系数、微观孔隙结构及弹性形变能力决定了球的飞行轨迹与旋转。在欧盟市场，这一部件不仅受到ITTF极为复杂的微观几何尺寸及光学性质的审查，更因其高分子弹性体的材质特性，在温度老化、物理防滑以及致癌化学物残留方面承受着REACH法规极其深度的穿透式监管。</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宏观/微观物理尺寸与摩擦光泽度参数</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依据ITTF发布的《球拍覆盖物技术手册（Technical Leaflet T4）》，胶皮与海绵组合在几何尺寸与物理表面特性上受到一系列刚性限制，任何微小的越界都将导致认证失效。</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极限厚度与颗粒结构比例</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现代乒乓球橡胶通常被设计为由底层发泡泡沫（海绵）与表层实际橡胶（Top sheet）构成的双层结构，也被称为“三明治橡胶”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。对于这种包含向内或向外颗粒的反胶、生胶或防弧胶，其包含织物增强层及背胶在内的绝对总厚度，在任何情况下均不得超过 </w:t>
      </w:r>
      <w:r w:rsidDel="00000000" w:rsidR="00000000" w:rsidRPr="00000000">
        <w:rPr>
          <w:rFonts w:ascii="Arial" w:cs="Arial" w:eastAsia="Arial" w:hAnsi="Arial"/>
          <w:color w:val="1f1f1f"/>
        </w:rPr>
        <w:drawing>
          <wp:inline distB="19050" distT="19050" distL="19050" distR="19050">
            <wp:extent cx="588987" cy="218495"/>
            <wp:effectExtent b="0" l="0" r="0" t="0"/>
            <wp:docPr id="50" name="image51.png"/>
            <a:graphic>
              <a:graphicData uri="http://schemas.openxmlformats.org/drawingml/2006/picture">
                <pic:pic>
                  <pic:nvPicPr>
                    <pic:cNvPr id="0" name="image51.png"/>
                    <pic:cNvPicPr preferRelativeResize="0"/>
                  </pic:nvPicPr>
                  <pic:blipFill>
                    <a:blip r:embed="rId15"/>
                    <a:srcRect b="0" l="0" r="0" t="0"/>
                    <a:stretch>
                      <a:fillRect/>
                    </a:stretch>
                  </pic:blipFill>
                  <pic:spPr>
                    <a:xfrm>
                      <a:off x="0" y="0"/>
                      <a:ext cx="588987" cy="21849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。而对于不带海绵的单层普通正胶（如Hardbat打法使用的长胶或短胶），其总厚度则严格受限于 </w:t>
      </w:r>
      <w:r w:rsidDel="00000000" w:rsidR="00000000" w:rsidRPr="00000000">
        <w:rPr>
          <w:rFonts w:ascii="Arial" w:cs="Arial" w:eastAsia="Arial" w:hAnsi="Arial"/>
          <w:color w:val="1f1f1f"/>
        </w:rPr>
        <w:drawing>
          <wp:inline distB="19050" distT="19050" distL="19050" distR="19050">
            <wp:extent cx="588987" cy="218495"/>
            <wp:effectExtent b="0" l="0" r="0" t="0"/>
            <wp:docPr id="52"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588987" cy="21849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在橡胶表面的微观形貌设计上，规则针对颗粒结构作出了精准的数学限定。正胶和长胶的颗粒直径（</w:t>
      </w:r>
      <w:r w:rsidDel="00000000" w:rsidR="00000000" w:rsidRPr="00000000">
        <w:rPr>
          <w:rFonts w:ascii="Arial" w:cs="Arial" w:eastAsia="Arial" w:hAnsi="Arial"/>
          <w:color w:val="1f1f1f"/>
        </w:rPr>
        <w:drawing>
          <wp:inline distB="19050" distT="19050" distL="19050" distR="19050">
            <wp:extent cx="97557" cy="234137"/>
            <wp:effectExtent b="0" l="0" r="0" t="0"/>
            <wp:docPr id="55"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97557" cy="23413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）必须位于 </w:t>
      </w:r>
      <w:r w:rsidDel="00000000" w:rsidR="00000000" w:rsidRPr="00000000">
        <w:rPr>
          <w:rFonts w:ascii="Arial" w:cs="Arial" w:eastAsia="Arial" w:hAnsi="Arial"/>
          <w:color w:val="1f1f1f"/>
        </w:rPr>
        <w:drawing>
          <wp:inline distB="19050" distT="19050" distL="19050" distR="19050">
            <wp:extent cx="235669" cy="216816"/>
            <wp:effectExtent b="0" l="0" r="0" t="0"/>
            <wp:docPr id="57"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235669" cy="21681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至 </w:t>
      </w:r>
      <w:r w:rsidDel="00000000" w:rsidR="00000000" w:rsidRPr="00000000">
        <w:rPr>
          <w:rFonts w:ascii="Arial" w:cs="Arial" w:eastAsia="Arial" w:hAnsi="Arial"/>
          <w:color w:val="1f1f1f"/>
        </w:rPr>
        <w:drawing>
          <wp:inline distB="19050" distT="19050" distL="19050" distR="19050">
            <wp:extent cx="588987" cy="218495"/>
            <wp:effectExtent b="0" l="0" r="0" t="0"/>
            <wp:docPr id="59" name="image43.png"/>
            <a:graphic>
              <a:graphicData uri="http://schemas.openxmlformats.org/drawingml/2006/picture">
                <pic:pic>
                  <pic:nvPicPr>
                    <pic:cNvPr id="0" name="image43.png"/>
                    <pic:cNvPicPr preferRelativeResize="0"/>
                  </pic:nvPicPr>
                  <pic:blipFill>
                    <a:blip r:embed="rId19"/>
                    <a:srcRect b="0" l="0" r="0" t="0"/>
                    <a:stretch>
                      <a:fillRect/>
                    </a:stretch>
                  </pic:blipFill>
                  <pic:spPr>
                    <a:xfrm>
                      <a:off x="0" y="0"/>
                      <a:ext cx="588987" cy="21849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之间；反胶与防弧胶的颗粒直径至少为 </w:t>
      </w:r>
      <w:r w:rsidDel="00000000" w:rsidR="00000000" w:rsidRPr="00000000">
        <w:rPr>
          <w:rFonts w:ascii="Arial" w:cs="Arial" w:eastAsia="Arial" w:hAnsi="Arial"/>
          <w:color w:val="1f1f1f"/>
        </w:rPr>
        <w:drawing>
          <wp:inline distB="19050" distT="19050" distL="19050" distR="19050">
            <wp:extent cx="588987" cy="218495"/>
            <wp:effectExtent b="0" l="0" r="0" t="0"/>
            <wp:docPr id="61"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588987" cy="21849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。相邻颗粒顶部之间的距离（</w:t>
      </w:r>
      <w:r w:rsidDel="00000000" w:rsidR="00000000" w:rsidRPr="00000000">
        <w:rPr>
          <w:rFonts w:ascii="Arial" w:cs="Arial" w:eastAsia="Arial" w:hAnsi="Arial"/>
          <w:color w:val="1f1f1f"/>
        </w:rPr>
        <w:drawing>
          <wp:inline distB="19050" distT="19050" distL="19050" distR="19050">
            <wp:extent cx="79177" cy="237530"/>
            <wp:effectExtent b="0" l="0" r="0" t="0"/>
            <wp:docPr id="63"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79177" cy="23753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）对于正胶/长胶需在 </w:t>
      </w:r>
      <w:r w:rsidDel="00000000" w:rsidR="00000000" w:rsidRPr="00000000">
        <w:rPr>
          <w:rFonts w:ascii="Arial" w:cs="Arial" w:eastAsia="Arial" w:hAnsi="Arial"/>
          <w:color w:val="1f1f1f"/>
        </w:rPr>
        <w:drawing>
          <wp:inline distB="19050" distT="19050" distL="19050" distR="19050">
            <wp:extent cx="235669" cy="216816"/>
            <wp:effectExtent b="0" l="0" r="0" t="0"/>
            <wp:docPr id="64"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235669" cy="21681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至 </w:t>
      </w:r>
      <w:r w:rsidDel="00000000" w:rsidR="00000000" w:rsidRPr="00000000">
        <w:rPr>
          <w:rFonts w:ascii="Arial" w:cs="Arial" w:eastAsia="Arial" w:hAnsi="Arial"/>
          <w:color w:val="1f1f1f"/>
        </w:rPr>
        <w:drawing>
          <wp:inline distB="19050" distT="19050" distL="19050" distR="19050">
            <wp:extent cx="588987" cy="218495"/>
            <wp:effectExtent b="0" l="0" r="0" t="0"/>
            <wp:docPr id="65"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588987" cy="21849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之间，反胶/防弧胶至少为 </w:t>
      </w:r>
      <w:r w:rsidDel="00000000" w:rsidR="00000000" w:rsidRPr="00000000">
        <w:rPr>
          <w:rFonts w:ascii="Arial" w:cs="Arial" w:eastAsia="Arial" w:hAnsi="Arial"/>
          <w:color w:val="1f1f1f"/>
        </w:rPr>
        <w:drawing>
          <wp:inline distB="19050" distT="19050" distL="19050" distR="19050">
            <wp:extent cx="588987" cy="218495"/>
            <wp:effectExtent b="0" l="0" r="0" t="0"/>
            <wp:docPr id="66" name="image53.png"/>
            <a:graphic>
              <a:graphicData uri="http://schemas.openxmlformats.org/drawingml/2006/picture">
                <pic:pic>
                  <pic:nvPicPr>
                    <pic:cNvPr id="0" name="image53.png"/>
                    <pic:cNvPicPr preferRelativeResize="0"/>
                  </pic:nvPicPr>
                  <pic:blipFill>
                    <a:blip r:embed="rId22"/>
                    <a:srcRect b="0" l="0" r="0" t="0"/>
                    <a:stretch>
                      <a:fillRect/>
                    </a:stretch>
                  </pic:blipFill>
                  <pic:spPr>
                    <a:xfrm>
                      <a:off x="0" y="0"/>
                      <a:ext cx="588987" cy="21849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。更为关键的限制是“高径比”（Aspect ratio），即颗粒的高度（</w:t>
      </w:r>
      <w:r w:rsidDel="00000000" w:rsidR="00000000" w:rsidRPr="00000000">
        <w:rPr>
          <w:rFonts w:ascii="Arial" w:cs="Arial" w:eastAsia="Arial" w:hAnsi="Arial"/>
          <w:color w:val="1f1f1f"/>
        </w:rPr>
        <w:drawing>
          <wp:inline distB="19050" distT="19050" distL="19050" distR="19050">
            <wp:extent cx="106263" cy="231846"/>
            <wp:effectExtent b="0" l="0" r="0" t="0"/>
            <wp:docPr id="24"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106263" cy="23184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）与其直径（</w:t>
      </w:r>
      <w:r w:rsidDel="00000000" w:rsidR="00000000" w:rsidRPr="00000000">
        <w:rPr>
          <w:rFonts w:ascii="Arial" w:cs="Arial" w:eastAsia="Arial" w:hAnsi="Arial"/>
          <w:color w:val="1f1f1f"/>
        </w:rPr>
        <w:drawing>
          <wp:inline distB="19050" distT="19050" distL="19050" distR="19050">
            <wp:extent cx="97557" cy="234137"/>
            <wp:effectExtent b="0" l="0" r="0" t="0"/>
            <wp:docPr id="26"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97557" cy="23413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）的比值绝对不能超过 </w:t>
      </w:r>
      <w:r w:rsidDel="00000000" w:rsidR="00000000" w:rsidRPr="00000000">
        <w:rPr>
          <w:rFonts w:ascii="Arial" w:cs="Arial" w:eastAsia="Arial" w:hAnsi="Arial"/>
          <w:color w:val="1f1f1f"/>
        </w:rPr>
        <w:drawing>
          <wp:inline distB="19050" distT="19050" distL="19050" distR="19050">
            <wp:extent cx="327943" cy="221844"/>
            <wp:effectExtent b="0" l="0" r="0" t="0"/>
            <wp:docPr id="28"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327943" cy="221844"/>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。此外，就单颗颗粒的表面光洁度而言，其最大的峰谷粗糙度（Peak-to-valley height）不允许超过 </w:t>
      </w:r>
      <w:r w:rsidDel="00000000" w:rsidR="00000000" w:rsidRPr="00000000">
        <w:rPr>
          <w:rFonts w:ascii="Arial" w:cs="Arial" w:eastAsia="Arial" w:hAnsi="Arial"/>
          <w:color w:val="1f1f1f"/>
        </w:rPr>
        <w:drawing>
          <wp:inline distB="19050" distT="19050" distL="19050" distR="19050">
            <wp:extent cx="681260" cy="217625"/>
            <wp:effectExtent b="0" l="0" r="0" t="0"/>
            <wp:docPr id="29"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681260" cy="21762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。这些详尽至微米的几何限制，其目的在于限制橡胶对高分子复合塑料球产生不可预知的“反常旋转（Spin reversal）”现象，维护竞技体育的对等性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摩擦系数与反光率控制</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为了保证橡胶不仅能够产生合规的旋转，同时不会通过视觉干扰影响比赛，法规对其摩擦性能与光学反射率提出了量化要求。首先，颗粒向外的橡胶覆面与乒乓球之间的动摩擦系数在实验室的严格测量中（施加 </w:t>
      </w:r>
      <w:r w:rsidDel="00000000" w:rsidR="00000000" w:rsidRPr="00000000">
        <w:rPr>
          <w:rFonts w:ascii="Arial" w:cs="Arial" w:eastAsia="Arial" w:hAnsi="Arial"/>
          <w:color w:val="1f1f1f"/>
        </w:rPr>
        <w:drawing>
          <wp:inline distB="19050" distT="19050" distL="19050" distR="19050">
            <wp:extent cx="522536" cy="218515"/>
            <wp:effectExtent b="0" l="0" r="0" t="0"/>
            <wp:docPr id="30"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22536" cy="21851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的标准法向力），必须至少达到 </w:t>
      </w:r>
      <w:r w:rsidDel="00000000" w:rsidR="00000000" w:rsidRPr="00000000">
        <w:rPr>
          <w:rFonts w:ascii="Arial" w:cs="Arial" w:eastAsia="Arial" w:hAnsi="Arial"/>
          <w:color w:val="1f1f1f"/>
        </w:rPr>
        <w:drawing>
          <wp:inline distB="19050" distT="19050" distL="19050" distR="19050">
            <wp:extent cx="327943" cy="221844"/>
            <wp:effectExtent b="0" l="0" r="0" t="0"/>
            <wp:docPr id="31"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327943" cy="221844"/>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光学性质方面，ITTF严厉禁止使用具有高光泽表面的胶皮。相关条文明确指出，如果橡胶（无论是反胶的表面，还是正胶的底基或颗粒顶部）的光泽度高到能够清晰映出光源的轮廓，则该材料将被无条件判定为不合格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。在量化指标上，通过依据ASTM D523标准的测试程序，橡胶表面在 </w:t>
      </w:r>
      <w:r w:rsidDel="00000000" w:rsidR="00000000" w:rsidRPr="00000000">
        <w:rPr>
          <w:rFonts w:ascii="Arial" w:cs="Arial" w:eastAsia="Arial" w:hAnsi="Arial"/>
          <w:color w:val="1f1f1f"/>
        </w:rPr>
        <w:drawing>
          <wp:inline distB="19050" distT="19050" distL="19050" distR="19050">
            <wp:extent cx="258291" cy="220026"/>
            <wp:effectExtent b="0" l="0" r="0" t="0"/>
            <wp:docPr id="32"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258291" cy="22002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入射角下的镜面光泽度（Specular gloss）绝对不得超过 </w:t>
      </w:r>
      <w:r w:rsidDel="00000000" w:rsidR="00000000" w:rsidRPr="00000000">
        <w:rPr>
          <w:rFonts w:ascii="Arial" w:cs="Arial" w:eastAsia="Arial" w:hAnsi="Arial"/>
          <w:color w:val="1f1f1f"/>
        </w:rPr>
        <w:drawing>
          <wp:inline distB="19050" distT="19050" distL="19050" distR="19050">
            <wp:extent cx="338063" cy="222156"/>
            <wp:effectExtent b="0" l="0" r="0" t="0"/>
            <wp:docPr id="33"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338063" cy="22215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印刷标识的物理布局与特定颜色规范</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作为品牌识别与合规监控的载体，胶皮上的印刷与浮雕标识必须遵循严谨的位置与色彩逻辑。根据ITTF及相关协会的规范，任何普通颗粒胶或三明治橡胶都必须将其包含ITTF标志（ITTF Logo）、可能存在的ITTF注册编号（ITTF Number）以及供应商和品牌的名称，清晰地压印或印刷在紧邻底板拍柄的区域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。这种布局要求旨在确保标识完全脱离有效的击球中心区域，同时在裁判进行球拍合法性检查时能够一目了然。标识必须以不可移除（Non-removable）的方式存在于产品上，任何形式的剥离贴纸均被视为违规伪造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除了标识本身的印制，胶皮所呈现的整体颜色也受到严格的光谱学约束。以乒乓球拍传统的亮红色（Bright red）胶皮为例，其颜色并非由制造商主观判定，而是被精准定义在孟塞尔（Munsell）颜色系统中：其色相（Hue）必须落在 </w:t>
      </w:r>
      <w:r w:rsidDel="00000000" w:rsidR="00000000" w:rsidRPr="00000000">
        <w:rPr>
          <w:rFonts w:ascii="Arial" w:cs="Arial" w:eastAsia="Arial" w:hAnsi="Arial"/>
          <w:color w:val="1f1f1f"/>
        </w:rPr>
        <w:drawing>
          <wp:inline distB="19050" distT="19050" distL="19050" distR="19050">
            <wp:extent cx="878533" cy="219633"/>
            <wp:effectExtent b="0" l="0" r="0" t="0"/>
            <wp:docPr id="34"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878533" cy="21963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之间，明度（Value）最小值为 </w:t>
      </w:r>
      <w:r w:rsidDel="00000000" w:rsidR="00000000" w:rsidRPr="00000000">
        <w:rPr>
          <w:rFonts w:ascii="Arial" w:cs="Arial" w:eastAsia="Arial" w:hAnsi="Arial"/>
          <w:color w:val="1f1f1f"/>
        </w:rPr>
        <w:drawing>
          <wp:inline distB="19050" distT="19050" distL="19050" distR="19050">
            <wp:extent cx="235669" cy="216816"/>
            <wp:effectExtent b="0" l="0" r="0" t="0"/>
            <wp:docPr id="35"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235669" cy="21681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，彩度（Chroma）最小值为 </w:t>
      </w:r>
      <w:r w:rsidDel="00000000" w:rsidR="00000000" w:rsidRPr="00000000">
        <w:rPr>
          <w:rFonts w:ascii="Arial" w:cs="Arial" w:eastAsia="Arial" w:hAnsi="Arial"/>
          <w:color w:val="1f1f1f"/>
        </w:rPr>
        <w:drawing>
          <wp:inline distB="19050" distT="19050" distL="19050" distR="19050">
            <wp:extent cx="235669" cy="216816"/>
            <wp:effectExtent b="0" l="0" r="0" t="0"/>
            <wp:docPr id="11"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235669" cy="21681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。并且，此类光学测试不能在单独的表层橡胶上进行，必须在成品海绵贴合完毕的状态下，置于纯白色背景上进行综合评估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热力学极限：温度老化对聚合物微观结构的摧毁性影响</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乒乓球橡胶与海绵在本质上是交联的高分子弹性体材料。ITTF在法律上对“橡胶”一词给出了明确的基于温度的力学定义：该材料必须在室温（Room temperature）环境下能够被外力拉伸至其原始长度的两倍，且在保持拉伸状态一分钟后，必须能够在接下来的一分钟内迅速回缩至小于其原始长度1.5倍的状态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然而，这种室温下的优异弹性在面对不当的极端温度时会发生不可逆转的物理化学衰变。根据对聚二甲基硅氧烷（PDMS）及其他典型聚合物橡胶的热老化（Thermal aging）研究表明，橡胶在经历周期性热应力或长期处于高温环境时，其分子链会发生剧烈的降解与结构变异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 当温度升高至 </w:t>
      </w:r>
      <w:r w:rsidDel="00000000" w:rsidR="00000000" w:rsidRPr="00000000">
        <w:rPr>
          <w:rFonts w:ascii="Arial" w:cs="Arial" w:eastAsia="Arial" w:hAnsi="Arial"/>
          <w:color w:val="1f1f1f"/>
        </w:rPr>
        <w:drawing>
          <wp:inline distB="19050" distT="19050" distL="19050" distR="19050">
            <wp:extent cx="483691" cy="218135"/>
            <wp:effectExtent b="0" l="0" r="0" t="0"/>
            <wp:docPr id="12"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483691" cy="21813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时，橡胶的复数模量（Complex modulus）会发生显著下降（降幅约 </w:t>
      </w:r>
      <w:r w:rsidDel="00000000" w:rsidR="00000000" w:rsidRPr="00000000">
        <w:rPr>
          <w:rFonts w:ascii="Arial" w:cs="Arial" w:eastAsia="Arial" w:hAnsi="Arial"/>
          <w:color w:val="1f1f1f"/>
        </w:rPr>
        <w:drawing>
          <wp:inline distB="19050" distT="19050" distL="19050" distR="19050">
            <wp:extent cx="338063" cy="222156"/>
            <wp:effectExtent b="0" l="0" r="0" t="0"/>
            <wp:docPr id="13"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338063" cy="22215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Unicode MS" w:cs="Arial Unicode MS" w:eastAsia="Arial Unicode MS" w:hAnsi="Arial Unicode MS"/>
          <w:color w:val="1f1f1f"/>
          <w:rtl w:val="0"/>
        </w:rPr>
        <w:t xml:space="preserve">。如果在加工、不当运输或极端测试中温度达到 </w:t>
      </w:r>
      <w:r w:rsidDel="00000000" w:rsidR="00000000" w:rsidRPr="00000000">
        <w:rPr>
          <w:rFonts w:ascii="Arial" w:cs="Arial" w:eastAsia="Arial" w:hAnsi="Arial"/>
          <w:color w:val="1f1f1f"/>
        </w:rPr>
        <w:drawing>
          <wp:inline distB="19050" distT="19050" distL="19050" distR="19050">
            <wp:extent cx="483691" cy="218135"/>
            <wp:effectExtent b="0" l="0" r="0" t="0"/>
            <wp:docPr id="14"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483691" cy="21813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乃至逼近生产商标注的临界极限 </w:t>
      </w:r>
      <w:r w:rsidDel="00000000" w:rsidR="00000000" w:rsidRPr="00000000">
        <w:rPr>
          <w:rFonts w:ascii="Arial" w:cs="Arial" w:eastAsia="Arial" w:hAnsi="Arial"/>
          <w:color w:val="1f1f1f"/>
        </w:rPr>
        <w:drawing>
          <wp:inline distB="19050" distT="19050" distL="19050" distR="19050">
            <wp:extent cx="483691" cy="218135"/>
            <wp:effectExtent b="0" l="0" r="0" t="0"/>
            <wp:docPr id="15"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483691" cy="21813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（例如在阳光暴晒的集装箱内或不当的热合工艺中），材料表面上似乎表现出所谓“增加的热稳定性”，但其深层物理机制是发生了严重的二次交联（Secondary crosslinking）和后固化（Post-curing）反应 </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这类热反应的直接后果是灾难性的：经过 </w:t>
      </w:r>
      <w:r w:rsidDel="00000000" w:rsidR="00000000" w:rsidRPr="00000000">
        <w:rPr>
          <w:rFonts w:ascii="Arial" w:cs="Arial" w:eastAsia="Arial" w:hAnsi="Arial"/>
          <w:color w:val="1f1f1f"/>
        </w:rPr>
        <w:drawing>
          <wp:inline distB="19050" distT="19050" distL="19050" distR="19050">
            <wp:extent cx="483691" cy="218135"/>
            <wp:effectExtent b="0" l="0" r="0" t="0"/>
            <wp:docPr id="16"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483691" cy="21813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及以上高温老化的橡胶样本，其微观结构发生固结，材料变得异常坚硬。硬度测试表明，老化后的样本维氏硬度可飙升至 </w:t>
      </w:r>
      <w:r w:rsidDel="00000000" w:rsidR="00000000" w:rsidRPr="00000000">
        <w:rPr>
          <w:rFonts w:ascii="Arial" w:cs="Arial" w:eastAsia="Arial" w:hAnsi="Arial"/>
          <w:color w:val="1f1f1f"/>
        </w:rPr>
        <w:drawing>
          <wp:inline distB="19050" distT="19050" distL="19050" distR="19050">
            <wp:extent cx="650677" cy="220082"/>
            <wp:effectExtent b="0" l="0" r="0" t="0"/>
            <wp:docPr id="17"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650677" cy="220082"/>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Unicode MS" w:cs="Arial Unicode MS" w:eastAsia="Arial Unicode MS" w:hAnsi="Arial Unicode MS"/>
          <w:color w:val="1f1f1f"/>
          <w:rtl w:val="0"/>
        </w:rPr>
        <w:t xml:space="preserve">。在实际的乒乓球竞技中，这意味着底层海绵失去了至关重要的“微孔弹性缓冲效应”，而表层橡胶则发生严重的脆化现象（Embrittlement）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。老化的胶皮会丧失吃球深度与产生强烈摩擦力的能力，表现出极差的击球手感与不可控的出球轨迹 </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。因此，为了维护胶皮出厂时的初始动力学性能，法规与物理规律共同要求其必须在严格控制的室温环境中储存，并远离任何可能引发高分子链热裂解的异常高温源。</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 REACH法规下的多环芳烃（PAHs）强力致癌物限制</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由于乒乓球运动员在握拍与击球时，手部尤其是手指会与靠近拍柄处的胶皮发生极为频繁的直接接触与长期摩擦，欧盟在化学安全评估中将乒乓球拍明确归类为“可能与人体皮肤或口腔产生直接、长期或短期重复接触的塑料与橡胶制品”类别（隶属于运动器械范围，Sports equipment such as racquets）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这一分类直接将胶皮和海绵推入了REACH法规附件XVII第50项（Regulation (EU) 1272/2013 及后续修正案）关于多环芳烃（PAHs）的管控漩涡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。多环芳烃广泛存在于橡胶硫化与发泡工艺中所必需的加工油（如芳烃油）、增塑剂及炭黑等填充物中，具有极强的致癌性、致突变性及生殖毒性。</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REACH法规严厉禁止向普通公众提供任何单一PAHs含量超过 </w:t>
      </w:r>
      <w:r w:rsidDel="00000000" w:rsidR="00000000" w:rsidRPr="00000000">
        <w:rPr>
          <w:rFonts w:ascii="Arial" w:cs="Arial" w:eastAsia="Arial" w:hAnsi="Arial"/>
          <w:color w:val="1f1f1f"/>
        </w:rPr>
        <w:drawing>
          <wp:inline distB="19050" distT="19050" distL="19050" distR="19050">
            <wp:extent cx="666006" cy="218831"/>
            <wp:effectExtent b="0" l="0" r="0" t="0"/>
            <wp:docPr id="18"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666006" cy="21883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（即所涉橡胶或塑料组件重量的 </w:t>
      </w:r>
      <w:r w:rsidDel="00000000" w:rsidR="00000000" w:rsidRPr="00000000">
        <w:rPr>
          <w:rFonts w:ascii="Arial" w:cs="Arial" w:eastAsia="Arial" w:hAnsi="Arial"/>
          <w:color w:val="1f1f1f"/>
        </w:rPr>
        <w:drawing>
          <wp:inline distB="19050" distT="19050" distL="19050" distR="19050">
            <wp:extent cx="665932" cy="218806"/>
            <wp:effectExtent b="0" l="0" r="0" t="0"/>
            <wp:docPr id="19"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665932" cy="21880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）的运动器械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 受控的8种高危PAHs化合物包括：</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color w:val="1f1f1f"/>
          <w:rtl w:val="0"/>
        </w:rPr>
        <w:t xml:space="preserve">苯并[a]芘 (Benzo(a)pyrene)</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color w:val="1f1f1f"/>
          <w:rtl w:val="0"/>
        </w:rPr>
        <w:t xml:space="preserve">苯并[e]芘 (Benzo(e)pyrene)</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color w:val="1f1f1f"/>
          <w:rtl w:val="0"/>
        </w:rPr>
        <w:t xml:space="preserve">苯并[a]蒽 (Benzo(a)anthracene)</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SimSun" w:cs="SimSun" w:eastAsia="SimSun" w:hAnsi="SimSun"/>
          <w:color w:val="1f1f1f"/>
          <w:rtl w:val="0"/>
        </w:rPr>
        <w:t xml:space="preserve">䓛 (Chrysene)</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color w:val="1f1f1f"/>
          <w:rtl w:val="0"/>
        </w:rPr>
        <w:t xml:space="preserve">苯并[b]荧蒽 (Benzo(b)fluoranthene)</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color w:val="1f1f1f"/>
          <w:rtl w:val="0"/>
        </w:rPr>
        <w:t xml:space="preserve">苯并[j]荧蒽 (Benzo(j)fluoranthene)</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color w:val="1f1f1f"/>
          <w:rtl w:val="0"/>
        </w:rPr>
        <w:t xml:space="preserve">苯并[k]荧蒽 (Benzo(k)fluoranthene)</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color w:val="1f1f1f"/>
          <w:rtl w:val="0"/>
        </w:rPr>
        <w:t xml:space="preserve">二苯并[a,h]蒽 (Dibenzo(a,h)anthracene)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欧盟化学品管理局（ECHA）发布的指导文件进一步澄清，针对乒乓球胶皮的PAHs合规检测，不能仅仅将球拍视为一个整体，而是必须将橡胶与海绵层分开，作为独立的组件进行逐一的溶解与萃取评估 </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Unicode MS" w:cs="Arial Unicode MS" w:eastAsia="Arial Unicode MS" w:hAnsi="Arial Unicode MS"/>
          <w:color w:val="1f1f1f"/>
          <w:rtl w:val="0"/>
        </w:rPr>
        <w:t xml:space="preserve">。任何应用在球拍表面的合成聚合物涂层，只要有可能接触到皮肤，都必须接受独立的PAHs含量测试（如采用气相色谱-质谱联用仪 GC-MS 执行的 AfPS GS 2019:01 PAK 德国标准测试） </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 为了满足这一严苛标准，乒乓球橡胶制造商必须彻底摒弃传统的高芳烃加工油，转而采购高纯度的环保型环烷油或精炼白油体系。若在欧盟市场监督机构的市场抽检中被发现上述任何一种PAH物质超标（检测限通常精确至 </w:t>
      </w:r>
      <w:r w:rsidDel="00000000" w:rsidR="00000000" w:rsidRPr="00000000">
        <w:rPr>
          <w:rFonts w:ascii="Arial" w:cs="Arial" w:eastAsia="Arial" w:hAnsi="Arial"/>
          <w:color w:val="1f1f1f"/>
        </w:rPr>
        <w:drawing>
          <wp:inline distB="19050" distT="19050" distL="19050" distR="19050">
            <wp:extent cx="809402" cy="219015"/>
            <wp:effectExtent b="0" l="0" r="0" t="0"/>
            <wp:docPr id="20"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809402" cy="21901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Unicode MS" w:cs="Arial Unicode MS" w:eastAsia="Arial Unicode MS" w:hAnsi="Arial Unicode MS"/>
          <w:color w:val="1f1f1f"/>
          <w:rtl w:val="0"/>
        </w:rPr>
        <w:t xml:space="preserve">，不仅涉事批次的球拍将被面临全面召回销毁的命运，违规企业亦将面临极其严厉的法律制裁与市场禁入惩罚。</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三、 粘合剂（Glue）：VOC禁令、环境温度耐受度与水性胶防腐剂的合规困境</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粘合剂虽然在乒乓球拍中仅扮演隐藏在底板与海绵之间的微米级薄膜角色，但它却是引发国际乒联规则剧变以及欧盟化学品监管重点关注的核心组件。一部关于乒乓球粘合剂的演化史，实质上是一部从追求物理弹性向顺应化学健康法规妥协的合规史。</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ITTF关于挥发性有机化合物（VOC）的零容忍禁令</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在2008年之前，职业乒乓球界长期依赖含有挥发性有机溶剂（VOC，如正庚烷、橡胶水等）的“有机胶水”（Speed glue）。这类溶剂的机理是通过化学渗透作用强制撑开海绵的内部微孔结构，使得橡胶产生膨胀与巨大的内应力，从而赋予击球极其恐怖的弹性与旋转威力 </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Unicode MS" w:cs="Arial Unicode MS" w:eastAsia="Arial Unicode MS" w:hAnsi="Arial Unicode MS"/>
          <w:color w:val="1f1f1f"/>
          <w:rtl w:val="0"/>
        </w:rPr>
        <w:t xml:space="preserve">。然而，由于这类高浓度挥发性有机物在密闭场馆中对运动员的呼吸系统与神经中枢具有不可逆的严重毒性损害，ITTF于2008年9月1日正式在全球赛事中对所有含有害挥发性溶剂的粘合剂下达了全面禁令 </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为了确保禁令得到彻底贯彻，ITTF建立了一套“零容忍（Zero tolerance）”的赛前检测协议。所有的球拍必须通过专门的电子检测仪器（如“e-nez”系统或RAE光离子化检测仪）进行VOC残留探测 </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Unicode MS" w:cs="Arial Unicode MS" w:eastAsia="Arial Unicode MS" w:hAnsi="Arial Unicode MS"/>
          <w:color w:val="1f1f1f"/>
          <w:rtl w:val="0"/>
        </w:rPr>
        <w:t xml:space="preserve">。 在合规实操层面，这项规则带来了一个显著的“时间延迟效应”。即使球员与制造商已经完全转向合法的水性无机胶水，如果海绵在生产过程中或球员自行涂胶时残留了极微量的挥发性溶剂，仪器依然会产生阳性报警。因此，合规指导强烈建议，新拆封的橡胶或刚完成组装的球拍，必须在通风良好的环境中进行长达48至72小时的散气（Airing）处理，确保所有的挥发性残留物能够彻底消散到安全阈值以下，从而避免在严苛的赛前检查中遭遇禁赛风险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。不仅如此，任何使用有机溶剂的涂胶行为也被绝对禁止在比赛场馆的任何区域（包括更衣室、观众区）内进行 </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物理存储条件：温度对无机胶水稳定性与动力学的冲击</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随着行业全面转向以乳胶为基底的无机水性胶水（Water-based/VOC-free glues），粘合剂对温度的敏感度变得前所未有地苛刻。</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在日常存储中，水性乒乓球胶水必须在极为严格的恒温环境中保存，推荐的存放温度区间为 </w:t>
      </w:r>
      <w:r w:rsidDel="00000000" w:rsidR="00000000" w:rsidRPr="00000000">
        <w:rPr>
          <w:rFonts w:ascii="Arial" w:cs="Arial" w:eastAsia="Arial" w:hAnsi="Arial"/>
          <w:color w:val="1f1f1f"/>
        </w:rPr>
        <w:drawing>
          <wp:inline distB="19050" distT="19050" distL="19050" distR="19050">
            <wp:extent cx="299219" cy="222001"/>
            <wp:effectExtent b="0" l="0" r="0" t="0"/>
            <wp:docPr id="1"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299219" cy="22200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至 </w:t>
      </w:r>
      <w:r w:rsidDel="00000000" w:rsidR="00000000" w:rsidRPr="00000000">
        <w:rPr>
          <w:rFonts w:ascii="Arial" w:cs="Arial" w:eastAsia="Arial" w:hAnsi="Arial"/>
          <w:color w:val="1f1f1f"/>
        </w:rPr>
        <w:drawing>
          <wp:inline distB="19050" distT="19050" distL="19050" distR="19050">
            <wp:extent cx="391493" cy="219618"/>
            <wp:effectExtent b="0" l="0" r="0" t="0"/>
            <wp:docPr id="2"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391493" cy="21961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（即 </w:t>
      </w:r>
      <w:r w:rsidDel="00000000" w:rsidR="00000000" w:rsidRPr="00000000">
        <w:rPr>
          <w:rFonts w:ascii="Arial" w:cs="Arial" w:eastAsia="Arial" w:hAnsi="Arial"/>
          <w:color w:val="1f1f1f"/>
        </w:rPr>
        <w:drawing>
          <wp:inline distB="19050" distT="19050" distL="19050" distR="19050">
            <wp:extent cx="378767" cy="217791"/>
            <wp:effectExtent b="0" l="0" r="0" t="0"/>
            <wp:docPr id="3"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378767" cy="21779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至 </w:t>
      </w:r>
      <w:r w:rsidDel="00000000" w:rsidR="00000000" w:rsidRPr="00000000">
        <w:rPr>
          <w:rFonts w:ascii="Arial" w:cs="Arial" w:eastAsia="Arial" w:hAnsi="Arial"/>
          <w:color w:val="1f1f1f"/>
        </w:rPr>
        <w:drawing>
          <wp:inline distB="19050" distT="19050" distL="19050" distR="19050">
            <wp:extent cx="378767" cy="217791"/>
            <wp:effectExtent b="0" l="0" r="0" t="0"/>
            <wp:docPr id="4"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378767" cy="21779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Unicode MS" w:cs="Arial Unicode MS" w:eastAsia="Arial Unicode MS" w:hAnsi="Arial Unicode MS"/>
          <w:color w:val="1f1f1f"/>
          <w:rtl w:val="0"/>
        </w:rPr>
        <w:t xml:space="preserve">。其物理化学依据在于：水性聚合物乳液如果经历冰点（Freezing）以下的低温，乳液颗粒内的水结冰会破坏胶体体系的热力学平衡，导致不可逆的聚合物絮凝结块，胶水将彻底报废；反之，如果处于烘烤（Baking）或持续高温环境，胶水内部的水分加速蒸发将导致界面氧化前沿（Oxidation front）的快速形成，引发胶体的过早交联与硬化 </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Unicode MS" w:cs="Arial Unicode MS" w:eastAsia="Arial Unicode MS" w:hAnsi="Arial Unicode MS"/>
          <w:color w:val="1f1f1f"/>
          <w:rtl w:val="0"/>
        </w:rPr>
        <w:t xml:space="preserve">。此外，胶水瓶必须垂直放置并拧紧瓶盖，避免水平平放导致的沉淀物分离与过早固化 </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在击球的极端动态物理瞬间，胶水层的玻璃化转变温度（Glass transition temperature, Tg）直接影响了球拍的频率响应特征。当乒乓球以极高速度撞击拍面产生高频冲击波时，如果局部的摩擦与挤压温度使得粘合剂及其下方的海绵层跨越或逼近玻璃化转变点，高分子材料将出现瞬间的暂时脆化现象（Temporary embrittlement）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这种脆化会导致能量传递效率的突变。因此，在研发顶级运动胶水时，化学工程师必须通过精确调控聚合物的分子量与增塑配方，确保其玻璃化转变温度远远偏离实际击球时可能产生的瞬态热应力区间，从而保障击球手感的一致性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REACH与BPR法规合击：水性胶防腐剂（MIT/BIT）的化学合规红线</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水性胶水的引入解决了一项健康风险（VOC神经毒性），却因为其配方中富含水分与聚合物成分，极易成为细菌与真菌大量繁殖的温床，进而引爆了另一个在欧盟面临严格限制的合规雷区——生物杀灭剂/防腐剂的滥用风险 </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业界长期依赖异噻唑啉酮类化合物作为高效的水性体系防腐剂，其中以甲基异噻唑啉酮（MIT）和苯并异噻唑啉酮（BIT）最为常见。然而，由于这些物质被临床证实为极强的皮肤致敏原，欧盟根据《生物杀灭剂法规》（BPR, Regulation (EU) 528/2012）以及《分类、标签和包装法规》（CLP, Regulation (EC) 1272/2008）的最新实施细则（如Regulation 2025/929 和 2025/1257），对它们下达了近乎禁绝的限值指标 </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防腐剂化学物质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CAS编号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CLP毒性分类级别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欧盟合规浓度上限要求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BIT (苯并异噻唑啉酮)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2634-33-5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皮肤致敏类 Cat.1A, 急性毒性等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在普通工业与零售混合物中必须 </w:t>
            </w:r>
            <w:r w:rsidDel="00000000" w:rsidR="00000000" w:rsidRPr="00000000">
              <w:rPr>
                <w:rFonts w:ascii="Arial" w:cs="Arial" w:eastAsia="Arial" w:hAnsi="Arial"/>
                <w:color w:val="1f1f1f"/>
                <w:shd w:fill="auto" w:val="clear"/>
              </w:rPr>
              <w:drawing>
                <wp:inline distB="19050" distT="19050" distL="19050" distR="19050">
                  <wp:extent cx="672331" cy="189389"/>
                  <wp:effectExtent b="0" l="0" r="0" t="0"/>
                  <wp:docPr id="5"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672331" cy="189389"/>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MIT (甲基异噻唑啉酮)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2682-20-4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皮肤致敏类 Cat.1A, 高度水生毒性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未反应的游离MIT总浓度必须控制在极低的 </w:t>
            </w:r>
            <w:r w:rsidDel="00000000" w:rsidR="00000000" w:rsidRPr="00000000">
              <w:rPr>
                <w:rFonts w:ascii="Arial" w:cs="Arial" w:eastAsia="Arial" w:hAnsi="Arial"/>
                <w:color w:val="1f1f1f"/>
                <w:shd w:fill="auto" w:val="clear"/>
              </w:rPr>
              <w:drawing>
                <wp:inline distB="19050" distT="19050" distL="19050" distR="19050">
                  <wp:extent cx="752996" cy="190632"/>
                  <wp:effectExtent b="0" l="0" r="0" t="0"/>
                  <wp:docPr id="6"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752996" cy="190632"/>
                          </a:xfrm>
                          <a:prstGeom prst="rect"/>
                          <a:ln/>
                        </pic:spPr>
                      </pic:pic>
                    </a:graphicData>
                  </a:graphic>
                </wp:inline>
              </w:drawing>
            </w:r>
            <w:r w:rsidDel="00000000" w:rsidR="00000000" w:rsidRPr="00000000">
              <w:rPr>
                <w:rFonts w:ascii="Arial Unicode MS" w:cs="Arial Unicode MS" w:eastAsia="Arial Unicode MS" w:hAnsi="Arial Unicode MS"/>
                <w:color w:val="1f1f1f"/>
                <w:shd w:fill="auto" w:val="clear"/>
                <w:rtl w:val="0"/>
              </w:rPr>
              <w:t xml:space="preserve">（即 </w:t>
            </w:r>
            <w:r w:rsidDel="00000000" w:rsidR="00000000" w:rsidRPr="00000000">
              <w:rPr>
                <w:rFonts w:ascii="Arial" w:cs="Arial" w:eastAsia="Arial" w:hAnsi="Arial"/>
                <w:color w:val="1f1f1f"/>
                <w:shd w:fill="auto" w:val="clear"/>
              </w:rPr>
              <w:drawing>
                <wp:inline distB="19050" distT="19050" distL="19050" distR="19050">
                  <wp:extent cx="589285" cy="218606"/>
                  <wp:effectExtent b="0" l="0" r="0" t="0"/>
                  <wp:docPr id="7"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589285" cy="218606"/>
                          </a:xfrm>
                          <a:prstGeom prst="rect"/>
                          <a:ln/>
                        </pic:spPr>
                      </pic:pic>
                    </a:graphicData>
                  </a:graphic>
                </wp:inline>
              </w:drawing>
            </w:r>
            <w:r w:rsidDel="00000000" w:rsidR="00000000" w:rsidRPr="00000000">
              <w:rPr>
                <w:rFonts w:ascii="Arial Unicode MS" w:cs="Arial Unicode MS" w:eastAsia="Arial Unicode MS" w:hAnsi="Arial Unicode MS"/>
                <w:color w:val="1f1f1f"/>
                <w:shd w:fill="auto" w:val="clear"/>
                <w:rtl w:val="0"/>
              </w:rPr>
              <w:t xml:space="preserve">）以下 </w:t>
            </w:r>
            <w:r w:rsidDel="00000000" w:rsidR="00000000" w:rsidRPr="00000000">
              <w:rPr>
                <w:rFonts w:ascii="Arial" w:cs="Arial" w:eastAsia="Arial" w:hAnsi="Arial"/>
                <w:color w:val="444746"/>
                <w:sz w:val="24"/>
                <w:szCs w:val="24"/>
                <w:vertAlign w:val="superscript"/>
                <w:rtl w:val="0"/>
              </w:rPr>
              <w:t xml:space="preserve">36</w:t>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这是一个在配方工程学上极为棘手的悖论。如果制造商为了确保胶水在长达数月的海运及仓储期内不发霉腐败而过量添加MIT（即混合物中MIT总浓度超过了 </w:t>
      </w:r>
      <w:r w:rsidDel="00000000" w:rsidR="00000000" w:rsidRPr="00000000">
        <w:rPr>
          <w:rFonts w:ascii="Arial" w:cs="Arial" w:eastAsia="Arial" w:hAnsi="Arial"/>
          <w:color w:val="1f1f1f"/>
        </w:rPr>
        <w:drawing>
          <wp:inline distB="19050" distT="19050" distL="19050" distR="19050">
            <wp:extent cx="665932" cy="218806"/>
            <wp:effectExtent b="0" l="0" r="0" t="0"/>
            <wp:docPr id="8"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665932" cy="218806"/>
                    </a:xfrm>
                    <a:prstGeom prst="rect"/>
                    <a:ln/>
                  </pic:spPr>
                </pic:pic>
              </a:graphicData>
            </a:graphic>
          </wp:inline>
        </w:drawing>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Pr>
        <w:drawing>
          <wp:inline distB="19050" distT="19050" distL="19050" distR="19050">
            <wp:extent cx="589285" cy="218606"/>
            <wp:effectExtent b="0" l="0" r="0" t="0"/>
            <wp:docPr id="9"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589285" cy="21860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的阈值），那么根据欧盟CLP法规的强制性要求，该水性胶水的包装瓶上就必须被印上令人望而生畏的“H317（可能引起皮肤过敏反应）”危险品警告标签，并强制要求操作者佩戴专业个人防护装备（PPE） </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Unicode MS" w:cs="Arial Unicode MS" w:eastAsia="Arial Unicode MS" w:hAnsi="Arial Unicode MS"/>
          <w:color w:val="1f1f1f"/>
          <w:rtl w:val="0"/>
        </w:rPr>
        <w:t xml:space="preserve">。对于一款面向普通消费者及业余爱好者的体育用品而言，带有此类严重危险警示标签无疑是商业销售上的灾难。</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规避危险化学品标签的印刷，同时满足产品防腐需求，合规的解决路径是引入极其精准的复合复配防腐技术。例如，采用经过特殊调配的CMIT/MIT组合（比例稳定在3:1），同时在配制过程中严格进行游离物监测，确保最终的MIT残留浓度被精准锁定在小于 </w:t>
      </w:r>
      <w:r w:rsidDel="00000000" w:rsidR="00000000" w:rsidRPr="00000000">
        <w:rPr>
          <w:rFonts w:ascii="Arial" w:cs="Arial" w:eastAsia="Arial" w:hAnsi="Arial"/>
          <w:color w:val="1f1f1f"/>
        </w:rPr>
        <w:drawing>
          <wp:inline distB="19050" distT="19050" distL="19050" distR="19050">
            <wp:extent cx="589285" cy="218606"/>
            <wp:effectExtent b="0" l="0" r="0" t="0"/>
            <wp:docPr id="10"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589285" cy="21860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的微量安全区间内，并配合浓度低于 </w:t>
      </w:r>
      <w:r w:rsidDel="00000000" w:rsidR="00000000" w:rsidRPr="00000000">
        <w:rPr>
          <w:rFonts w:ascii="Arial" w:cs="Arial" w:eastAsia="Arial" w:hAnsi="Arial"/>
          <w:color w:val="1f1f1f"/>
        </w:rPr>
        <w:drawing>
          <wp:inline distB="19050" distT="19050" distL="19050" distR="19050">
            <wp:extent cx="681484" cy="217696"/>
            <wp:effectExtent b="0" l="0" r="0" t="0"/>
            <wp:docPr id="42" name="image33.png"/>
            <a:graphic>
              <a:graphicData uri="http://schemas.openxmlformats.org/drawingml/2006/picture">
                <pic:pic>
                  <pic:nvPicPr>
                    <pic:cNvPr id="0" name="image33.png"/>
                    <pic:cNvPicPr preferRelativeResize="0"/>
                  </pic:nvPicPr>
                  <pic:blipFill>
                    <a:blip r:embed="rId49"/>
                    <a:srcRect b="0" l="0" r="0" t="0"/>
                    <a:stretch>
                      <a:fillRect/>
                    </a:stretch>
                  </pic:blipFill>
                  <pic:spPr>
                    <a:xfrm>
                      <a:off x="0" y="0"/>
                      <a:ext cx="681484" cy="21769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的BIT进行辅助抑菌 </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印刷与标签审核环节，根据《生物杀灭剂法规》（BPR）第58条的强制规定，所有使用了BIT或MIT作为处理物品防腐的水性乒乓球胶水，其外包装标签上必须包含极其详尽的信息声明。这些声明必须包括：明确指出该产品含有了生物杀灭剂（Biocides），清楚描述其抗菌防腐属性，列出所使用的具体活性化学物质的法定名称（如MIT/BIT），并附注如需防止过敏暴露的特定使用说明与防护建议 </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Unicode MS" w:cs="Arial Unicode MS" w:eastAsia="Arial Unicode MS" w:hAnsi="Arial Unicode MS"/>
          <w:color w:val="1f1f1f"/>
          <w:rtl w:val="0"/>
        </w:rPr>
        <w:t xml:space="preserve">。这种对配方成分毫无保留的信息披露要求，彻底终结了以往化工助剂“黑箱操作”的时代。</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四、 护边（Edge Tape）：增塑剂与重金属毒性的极限筛查</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护边（Edge tape / Side tape）是紧紧缠绕并粘贴在乒乓球底板侧面及橡胶边缘的一条保护性条带，旨在吸收意外碰撞产生的破坏能量，保护脆弱的木质纤维不被球台边缘劈裂，并提供整体的视觉美学修饰 </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物理材质、尺寸规格与竞技赛场限制</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现代护边的主流材料通常为具备一定延展性的布料（Fabric）或是富有弹性的聚氯乙烯（PVC）柔性塑料，其背部涂有一层强力自粘式胶水 </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Unicode MS" w:cs="Arial Unicode MS" w:eastAsia="Arial Unicode MS" w:hAnsi="Arial Unicode MS"/>
          <w:color w:val="1f1f1f"/>
          <w:rtl w:val="0"/>
        </w:rPr>
        <w:t xml:space="preserve">。市面上流通的护边宽度通常在 </w:t>
      </w:r>
      <w:r w:rsidDel="00000000" w:rsidR="00000000" w:rsidRPr="00000000">
        <w:rPr>
          <w:rFonts w:ascii="Arial" w:cs="Arial" w:eastAsia="Arial" w:hAnsi="Arial"/>
          <w:color w:val="1f1f1f"/>
        </w:rPr>
        <w:drawing>
          <wp:inline distB="19050" distT="19050" distL="19050" distR="19050">
            <wp:extent cx="445591" cy="218055"/>
            <wp:effectExtent b="0" l="0" r="0" t="0"/>
            <wp:docPr id="45"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445591" cy="21805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Arial" w:cs="Arial" w:eastAsia="Arial" w:hAnsi="Arial"/>
          <w:color w:val="1f1f1f"/>
        </w:rPr>
        <w:drawing>
          <wp:inline distB="19050" distT="19050" distL="19050" distR="19050">
            <wp:extent cx="445591" cy="218055"/>
            <wp:effectExtent b="0" l="0" r="0" t="0"/>
            <wp:docPr id="46" name="image41.png"/>
            <a:graphic>
              <a:graphicData uri="http://schemas.openxmlformats.org/drawingml/2006/picture">
                <pic:pic>
                  <pic:nvPicPr>
                    <pic:cNvPr id="0" name="image41.png"/>
                    <pic:cNvPicPr preferRelativeResize="0"/>
                  </pic:nvPicPr>
                  <pic:blipFill>
                    <a:blip r:embed="rId51"/>
                    <a:srcRect b="0" l="0" r="0" t="0"/>
                    <a:stretch>
                      <a:fillRect/>
                    </a:stretch>
                  </pic:blipFill>
                  <pic:spPr>
                    <a:xfrm>
                      <a:off x="0" y="0"/>
                      <a:ext cx="445591" cy="21805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Arial" w:cs="Arial" w:eastAsia="Arial" w:hAnsi="Arial"/>
          <w:color w:val="1f1f1f"/>
        </w:rPr>
        <w:drawing>
          <wp:inline distB="19050" distT="19050" distL="19050" distR="19050">
            <wp:extent cx="537790" cy="220878"/>
            <wp:effectExtent b="0" l="0" r="0" t="0"/>
            <wp:docPr id="48" name="image34.png"/>
            <a:graphic>
              <a:graphicData uri="http://schemas.openxmlformats.org/drawingml/2006/picture">
                <pic:pic>
                  <pic:nvPicPr>
                    <pic:cNvPr id="0" name="image34.png"/>
                    <pic:cNvPicPr preferRelativeResize="0"/>
                  </pic:nvPicPr>
                  <pic:blipFill>
                    <a:blip r:embed="rId52"/>
                    <a:srcRect b="0" l="0" r="0" t="0"/>
                    <a:stretch>
                      <a:fillRect/>
                    </a:stretch>
                  </pic:blipFill>
                  <pic:spPr>
                    <a:xfrm>
                      <a:off x="0" y="0"/>
                      <a:ext cx="537790" cy="22087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至 </w:t>
      </w:r>
      <w:r w:rsidDel="00000000" w:rsidR="00000000" w:rsidRPr="00000000">
        <w:rPr>
          <w:rFonts w:ascii="Arial" w:cs="Arial" w:eastAsia="Arial" w:hAnsi="Arial"/>
          <w:color w:val="1f1f1f"/>
        </w:rPr>
        <w:drawing>
          <wp:inline distB="19050" distT="19050" distL="19050" distR="19050">
            <wp:extent cx="537790" cy="220878"/>
            <wp:effectExtent b="0" l="0" r="0" t="0"/>
            <wp:docPr id="51" name="image47.png"/>
            <a:graphic>
              <a:graphicData uri="http://schemas.openxmlformats.org/drawingml/2006/picture">
                <pic:pic>
                  <pic:nvPicPr>
                    <pic:cNvPr id="0" name="image47.png"/>
                    <pic:cNvPicPr preferRelativeResize="0"/>
                  </pic:nvPicPr>
                  <pic:blipFill>
                    <a:blip r:embed="rId53"/>
                    <a:srcRect b="0" l="0" r="0" t="0"/>
                    <a:stretch>
                      <a:fillRect/>
                    </a:stretch>
                  </pic:blipFill>
                  <pic:spPr>
                    <a:xfrm>
                      <a:off x="0" y="0"/>
                      <a:ext cx="537790" cy="22087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不等。为了同时包覆底板边缘以及两侧粘贴的海绵边缘， </w:t>
      </w:r>
      <w:r w:rsidDel="00000000" w:rsidR="00000000" w:rsidRPr="00000000">
        <w:rPr>
          <w:rFonts w:ascii="Arial" w:cs="Arial" w:eastAsia="Arial" w:hAnsi="Arial"/>
          <w:color w:val="1f1f1f"/>
        </w:rPr>
        <w:drawing>
          <wp:inline distB="19050" distT="19050" distL="19050" distR="19050">
            <wp:extent cx="537790" cy="220878"/>
            <wp:effectExtent b="0" l="0" r="0" t="0"/>
            <wp:docPr id="53" name="image34.png"/>
            <a:graphic>
              <a:graphicData uri="http://schemas.openxmlformats.org/drawingml/2006/picture">
                <pic:pic>
                  <pic:nvPicPr>
                    <pic:cNvPr id="0" name="image34.png"/>
                    <pic:cNvPicPr preferRelativeResize="0"/>
                  </pic:nvPicPr>
                  <pic:blipFill>
                    <a:blip r:embed="rId52"/>
                    <a:srcRect b="0" l="0" r="0" t="0"/>
                    <a:stretch>
                      <a:fillRect/>
                    </a:stretch>
                  </pic:blipFill>
                  <pic:spPr>
                    <a:xfrm>
                      <a:off x="0" y="0"/>
                      <a:ext cx="537790" cy="22087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的宽度是业界的标准配置（能够完美契合通常为 </w:t>
      </w:r>
      <w:r w:rsidDel="00000000" w:rsidR="00000000" w:rsidRPr="00000000">
        <w:rPr>
          <w:rFonts w:ascii="Arial" w:cs="Arial" w:eastAsia="Arial" w:hAnsi="Arial"/>
          <w:color w:val="1f1f1f"/>
        </w:rPr>
        <w:drawing>
          <wp:inline distB="19050" distT="19050" distL="19050" distR="19050">
            <wp:extent cx="445591" cy="218055"/>
            <wp:effectExtent b="0" l="0" r="0" t="0"/>
            <wp:docPr id="56"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445591" cy="21805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的底板加两面各约 </w:t>
      </w:r>
      <w:r w:rsidDel="00000000" w:rsidR="00000000" w:rsidRPr="00000000">
        <w:rPr>
          <w:rFonts w:ascii="Arial" w:cs="Arial" w:eastAsia="Arial" w:hAnsi="Arial"/>
          <w:color w:val="1f1f1f"/>
        </w:rPr>
        <w:drawing>
          <wp:inline distB="19050" distT="19050" distL="19050" distR="19050">
            <wp:extent cx="445591" cy="218055"/>
            <wp:effectExtent b="0" l="0" r="0" t="0"/>
            <wp:docPr id="58" name="image48.png"/>
            <a:graphic>
              <a:graphicData uri="http://schemas.openxmlformats.org/drawingml/2006/picture">
                <pic:pic>
                  <pic:nvPicPr>
                    <pic:cNvPr id="0" name="image48.png"/>
                    <pic:cNvPicPr preferRelativeResize="0"/>
                  </pic:nvPicPr>
                  <pic:blipFill>
                    <a:blip r:embed="rId54"/>
                    <a:srcRect b="0" l="0" r="0" t="0"/>
                    <a:stretch>
                      <a:fillRect/>
                    </a:stretch>
                  </pic:blipFill>
                  <pic:spPr>
                    <a:xfrm>
                      <a:off x="0" y="0"/>
                      <a:ext cx="445591" cy="21805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的胶皮厚度） </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虽然国际乒联（ITTF）在厚厚的规则手册中并未针对护边设定特定的禁止条款，但在实际比赛的裁判执法实践中，护边的使用存在潜在的竞技规制界线。例如，护边的厚度不能极端超出合理范围（通常不应超过几毫米），以免选手利用增厚的弹性护边在回球时制造不规则的反弹轨迹；护边上严禁印制粗俗或带有冒犯性的文字及图案；此外，其颜色不应设计得过于刺眼或明亮（特别是绝对不能与比赛用球使用完全相同的高亮颜色），以防止在激烈对攻中产生反光或颜色混淆，从而干扰对手的视线判断 </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REACH附件XVII第63项：PVC护边中“铅（Lead）”的全面封杀</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大量廉价且耐用的护边采用PVC材质。在传统的PVC配方中，铅盐（Lead acetate等）被广泛用作高效的热稳定剂，用以改善PVC材料在高温挤出过程中的热稳定性，并防止其在使用周期中遭受光降解与热氧化破坏 </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Unicode MS" w:cs="Arial Unicode MS" w:eastAsia="Arial Unicode MS" w:hAnsi="Arial Unicode MS"/>
          <w:color w:val="1f1f1f"/>
          <w:rtl w:val="0"/>
        </w:rPr>
        <w:t xml:space="preserve">。然而，铅是一种强效的神经毒素和全身性重金属毒物，会对人体的中枢神经发育、肾脏功能产生严重的慢性破坏，并在自然环境中产生不可降解的持久污染 </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经过漫长的科学评估与立法拉锯，欧洲化学品管理局（ECHA）确信PVC产品中的铅带来了无法被接受的人体健康风险。欧盟委员会因此颁布了Commission Regulation (EU) 2023/923，对REACH法规附件XVII的第63项进行了历史性的扩充 </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Unicode MS" w:cs="Arial Unicode MS" w:eastAsia="Arial Unicode MS" w:hAnsi="Arial Unicode MS"/>
          <w:color w:val="1f1f1f"/>
          <w:rtl w:val="0"/>
        </w:rPr>
        <w:t xml:space="preserve">。 这一极具杀伤力的合规条款规定：自</w:t>
      </w:r>
      <w:r w:rsidDel="00000000" w:rsidR="00000000" w:rsidRPr="00000000">
        <w:rPr>
          <w:rFonts w:ascii="Arial Unicode MS" w:cs="Arial Unicode MS" w:eastAsia="Arial Unicode MS" w:hAnsi="Arial Unicode MS"/>
          <w:b w:val="1"/>
          <w:bCs w:val="1"/>
          <w:color w:val="1f1f1f"/>
          <w:rtl w:val="0"/>
        </w:rPr>
        <w:t xml:space="preserve">2024年11月29日</w:t>
      </w:r>
      <w:r w:rsidDel="00000000" w:rsidR="00000000" w:rsidRPr="00000000">
        <w:rPr>
          <w:rFonts w:ascii="Arial Unicode MS" w:cs="Arial Unicode MS" w:eastAsia="Arial Unicode MS" w:hAnsi="Arial Unicode MS"/>
          <w:color w:val="1f1f1f"/>
          <w:rtl w:val="0"/>
        </w:rPr>
        <w:t xml:space="preserve">起，任何由氯乙烯聚合物或共聚物（即PVC）制造的物品，如果其内部的铅含量等于或大于PVC材料自身重量的 </w:t>
      </w:r>
      <w:r w:rsidDel="00000000" w:rsidR="00000000" w:rsidRPr="00000000">
        <w:rPr>
          <w:rFonts w:ascii="Arial" w:cs="Arial" w:eastAsia="Arial" w:hAnsi="Arial"/>
          <w:color w:val="1f1f1f"/>
        </w:rPr>
        <w:drawing>
          <wp:inline distB="19050" distT="19050" distL="19050" distR="19050">
            <wp:extent cx="389334" cy="218407"/>
            <wp:effectExtent b="0" l="0" r="0" t="0"/>
            <wp:docPr id="60" name="image50.png"/>
            <a:graphic>
              <a:graphicData uri="http://schemas.openxmlformats.org/drawingml/2006/picture">
                <pic:pic>
                  <pic:nvPicPr>
                    <pic:cNvPr id="0" name="image50.png"/>
                    <pic:cNvPicPr preferRelativeResize="0"/>
                  </pic:nvPicPr>
                  <pic:blipFill>
                    <a:blip r:embed="rId55"/>
                    <a:srcRect b="0" l="0" r="0" t="0"/>
                    <a:stretch>
                      <a:fillRect/>
                    </a:stretch>
                  </pic:blipFill>
                  <pic:spPr>
                    <a:xfrm>
                      <a:off x="0" y="0"/>
                      <a:ext cx="389334" cy="21840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，将受到绝对的禁令，严禁将其投入欧盟市场销售或使用 </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虽然该法规为建筑和土木工程领域中某些含回收刚性PVC（Recovered rigid PVC）的特定制品提供了延迟至2033年的合规豁免期（且回收料铅含量需低于 </w:t>
      </w:r>
      <w:r w:rsidDel="00000000" w:rsidR="00000000" w:rsidRPr="00000000">
        <w:rPr>
          <w:rFonts w:ascii="Arial" w:cs="Arial" w:eastAsia="Arial" w:hAnsi="Arial"/>
          <w:color w:val="1f1f1f"/>
        </w:rPr>
        <w:drawing>
          <wp:inline distB="19050" distT="19050" distL="19050" distR="19050">
            <wp:extent cx="389334" cy="218407"/>
            <wp:effectExtent b="0" l="0" r="0" t="0"/>
            <wp:docPr id="62" name="image52.png"/>
            <a:graphic>
              <a:graphicData uri="http://schemas.openxmlformats.org/drawingml/2006/picture">
                <pic:pic>
                  <pic:nvPicPr>
                    <pic:cNvPr id="0" name="image52.png"/>
                    <pic:cNvPicPr preferRelativeResize="0"/>
                  </pic:nvPicPr>
                  <pic:blipFill>
                    <a:blip r:embed="rId56"/>
                    <a:srcRect b="0" l="0" r="0" t="0"/>
                    <a:stretch>
                      <a:fillRect/>
                    </a:stretch>
                  </pic:blipFill>
                  <pic:spPr>
                    <a:xfrm>
                      <a:off x="0" y="0"/>
                      <a:ext cx="389334" cy="21840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Unicode MS" w:cs="Arial Unicode MS" w:eastAsia="Arial Unicode MS" w:hAnsi="Arial Unicode MS"/>
          <w:color w:val="1f1f1f"/>
          <w:rtl w:val="0"/>
        </w:rPr>
        <w:t xml:space="preserve">，但这与体育消费品无关。任何向欧洲出口采用传统铅盐稳定剂PVC护边的球拍组装厂，自2024年底起将面临其产品在海关被成批扣押销毁的巨大合规深渊 </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Unicode MS" w:cs="Arial Unicode MS" w:eastAsia="Arial Unicode MS" w:hAnsi="Arial Unicode MS"/>
          <w:color w:val="1f1f1f"/>
          <w:rtl w:val="0"/>
        </w:rPr>
        <w:t xml:space="preserve">。体育用品供应链必须迅速重组，全面转向采用钙锌复合稳定剂等无铅环保配方的聚合物基材。</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REACH附件XVII第51项：邻苯二甲酸酯（增塑剂）的强制清退</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要让原本坚硬的PVC树脂具备能够完美贴合乒乓球拍圆弧边缘的超强柔韧性，在制造过程中必须向树脂中掺杂大量的增塑剂（Plasticizers） </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Unicode MS" w:cs="Arial Unicode MS" w:eastAsia="Arial Unicode MS" w:hAnsi="Arial Unicode MS"/>
          <w:color w:val="1f1f1f"/>
          <w:rtl w:val="0"/>
        </w:rPr>
        <w:t xml:space="preserve">。在过去的半个世纪中，邻苯二甲酸酯由于成本低廉且效果显著，一直是该领域的霸主。但是，现代生殖毒理学及内分泌学研究证实，多种邻苯二甲酸酯具有明确的内分泌干扰素（Endocrine-disrupting）特性，能够引发雄性生殖系统发育异常及代谢紊乱 </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为斩断这一隐形毒链，欧盟通过Regulation (EU) 2018/2005对REACH附件XVII的第51项发起了更为严厉的升级 </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Unicode MS" w:cs="Arial Unicode MS" w:eastAsia="Arial Unicode MS" w:hAnsi="Arial Unicode MS"/>
          <w:color w:val="1f1f1f"/>
          <w:rtl w:val="0"/>
        </w:rPr>
        <w:t xml:space="preserve">。新规将受限制的邻苯二甲酸酯核心物种从最初的三种扩展至四种，即：邻苯二甲酸二(2-乙基己基)酯 (DEHP)、邻苯二甲酸二丁酯 (DBP)、邻苯二甲酸丁苄酯 (BBP) 以及新增的邻苯二甲酸二异丁酯 (DIBP) </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物质名称 (缩写)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管控范围与材料类型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极限浓度与判定基准要求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强制生效时间与豁免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DEHP, DBP, BBP, DIBP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所有存在于消费品物品中的 </w:t>
            </w:r>
            <w:r w:rsidDel="00000000" w:rsidR="00000000" w:rsidRPr="00000000">
              <w:rPr>
                <w:rFonts w:ascii="Arial Unicode MS" w:cs="Arial Unicode MS" w:eastAsia="Arial Unicode MS" w:hAnsi="Arial Unicode MS"/>
                <w:b w:val="1"/>
                <w:bCs w:val="1"/>
                <w:color w:val="1f1f1f"/>
                <w:shd w:fill="auto" w:val="clear"/>
                <w:rtl w:val="0"/>
              </w:rPr>
              <w:t xml:space="preserve">塑化材料 (Plasticized material)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上述四种物质的总和（</w:t>
            </w:r>
            <w:r w:rsidDel="00000000" w:rsidR="00000000" w:rsidRPr="00000000">
              <w:rPr>
                <w:rFonts w:ascii="Arial Unicode MS" w:cs="Arial Unicode MS" w:eastAsia="Arial Unicode MS" w:hAnsi="Arial Unicode MS"/>
                <w:b w:val="1"/>
                <w:bCs w:val="1"/>
                <w:color w:val="1f1f1f"/>
                <w:shd w:fill="auto" w:val="clear"/>
                <w:rtl w:val="0"/>
              </w:rPr>
              <w:t xml:space="preserve">无论是单独存在还是以任何比例组合存在</w:t>
            </w:r>
            <w:r w:rsidDel="00000000" w:rsidR="00000000" w:rsidRPr="00000000">
              <w:rPr>
                <w:rFonts w:ascii="Arial Unicode MS" w:cs="Arial Unicode MS" w:eastAsia="Arial Unicode MS" w:hAnsi="Arial Unicode MS"/>
                <w:color w:val="1f1f1f"/>
                <w:shd w:fill="auto" w:val="clear"/>
                <w:rtl w:val="0"/>
              </w:rPr>
              <w:t xml:space="preserve">），均不得 </w:t>
            </w:r>
            <w:r w:rsidDel="00000000" w:rsidR="00000000" w:rsidRPr="00000000">
              <w:rPr>
                <w:rFonts w:ascii="Arial" w:cs="Arial" w:eastAsia="Arial" w:hAnsi="Arial"/>
                <w:color w:val="1f1f1f"/>
                <w:shd w:fill="auto" w:val="clear"/>
              </w:rPr>
              <w:drawing>
                <wp:inline distB="19050" distT="19050" distL="19050" distR="19050">
                  <wp:extent cx="511001" cy="189260"/>
                  <wp:effectExtent b="0" l="0" r="0" t="0"/>
                  <wp:docPr id="41" name="image30.png"/>
                  <a:graphic>
                    <a:graphicData uri="http://schemas.openxmlformats.org/drawingml/2006/picture">
                      <pic:pic>
                        <pic:nvPicPr>
                          <pic:cNvPr id="0" name="image30.png"/>
                          <pic:cNvPicPr preferRelativeResize="0"/>
                        </pic:nvPicPr>
                        <pic:blipFill>
                          <a:blip r:embed="rId57"/>
                          <a:srcRect b="0" l="0" r="0" t="0"/>
                          <a:stretch>
                            <a:fillRect/>
                          </a:stretch>
                        </pic:blipFill>
                        <pic:spPr>
                          <a:xfrm>
                            <a:off x="0" y="0"/>
                            <a:ext cx="511001" cy="189260"/>
                          </a:xfrm>
                          <a:prstGeom prst="rect"/>
                          <a:ln/>
                        </pic:spPr>
                      </pic:pic>
                    </a:graphicData>
                  </a:graphic>
                </wp:inline>
              </w:drawing>
            </w:r>
            <w:r w:rsidDel="00000000" w:rsidR="00000000" w:rsidRPr="00000000">
              <w:rPr>
                <w:rFonts w:ascii="Arial Unicode MS" w:cs="Arial Unicode MS" w:eastAsia="Arial Unicode MS" w:hAnsi="Arial Unicode MS"/>
                <w:color w:val="1f1f1f"/>
                <w:shd w:fill="auto" w:val="clear"/>
                <w:rtl w:val="0"/>
              </w:rPr>
              <w:t xml:space="preserve"> (按塑化材料的重量百分比计算) </w:t>
            </w:r>
            <w:r w:rsidDel="00000000" w:rsidR="00000000" w:rsidRPr="00000000">
              <w:rPr>
                <w:rFonts w:ascii="Arial" w:cs="Arial" w:eastAsia="Arial" w:hAnsi="Arial"/>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自2020年7月7日全面生效。工业专属用品及航空汽车修理零件等拥有豁免，但体育用品属于受限核心区域 </w:t>
            </w:r>
            <w:r w:rsidDel="00000000" w:rsidR="00000000" w:rsidRPr="00000000">
              <w:rPr>
                <w:rFonts w:ascii="Arial" w:cs="Arial" w:eastAsia="Arial" w:hAnsi="Arial"/>
                <w:color w:val="444746"/>
                <w:sz w:val="24"/>
                <w:szCs w:val="24"/>
                <w:vertAlign w:val="superscript"/>
                <w:rtl w:val="0"/>
              </w:rPr>
              <w:t xml:space="preserve">48</w:t>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在这项法规中，最容易让乒乓球器材企业忽略的合规陷阱在于增塑剂的物理“迁移机制（Migration mechanism）”。增塑剂并不是通过化学键与PVC树脂结合的，而是像水分夹杂在海绵中一样存在于聚合物大分子链条之间。这意味着如果护边中的DEHP严重超标，随着环境温度的变化与时间的推移，这种高危害性的液态化学物质会悄无声息地向外渗透，转移至底层木板的漆面，或是直接渗透进与其发生长时间“长期接触（Prolonged contact）”的皮肤角质层中 </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Unicode MS" w:cs="Arial Unicode MS" w:eastAsia="Arial Unicode MS" w:hAnsi="Arial Unicode MS"/>
          <w:color w:val="1f1f1f"/>
          <w:rtl w:val="0"/>
        </w:rPr>
        <w:t xml:space="preserve">。因此，拥有REACH符合性声明报告及化学检测证书，不仅是护边进入欧洲的单据要求，更是抵御毒性迁移风险的实质性屏障 </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五、 产品定性边界、包装标贴法规与加速老化测试规范</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当乒乓球拍的各个物理组件艰难通过了上述令人窒息的化学生物检测后，它还必须跨越最后两道行政维度的欧盟关卡：精准的法律身份定性，以及极度庞杂的产品包装与信息披露法规（GPSR与Triman环保法）。</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法定身份的灰色地带：《玩具安全指令》与竞技器材的划界</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在将乒乓球拍推向欧盟市场的前夜，一个可能决定产品生死存亡的定性问题必须得到解答：这款球拍在欧盟法律上，究竟被视为一件“体育运动器材（Sports Equipment）”，还是一件供未成年人玩耍的“玩具（Toy）”？这并不是文字游戏，而是决定企业将面临百倍合规成本差距的十字路口。</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根据欧盟颁布的《玩具安全指令》（Toy Safety Directive 2009/48/EC）及其下设的最具权威性的第14号指导文件（Guidance Document No. 14），并非所有尺寸小巧或供儿童能够持握的球拍都会自动成为玩具 </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Unicode MS" w:cs="Arial Unicode MS" w:eastAsia="Arial Unicode MS" w:hAnsi="Arial Unicode MS"/>
          <w:color w:val="1f1f1f"/>
          <w:rtl w:val="0"/>
        </w:rPr>
        <w:t xml:space="preserve">。 这一定性的核心法理依据在于“玩耍价值（Playing value）”与“体育挑战性”的界定机制。欧盟专家委员会指出，尽管任何物体都有可能被儿童当做玩具使用，但只有当制造商在设计、外观、包装以及广告宣传中明确、主动地向14岁以下儿童传达出这件物品主要是用于“玩耍”的意图时，它才会被法规捕获进入玩具序列 </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Unicode MS" w:cs="Arial Unicode MS" w:eastAsia="Arial Unicode MS" w:hAnsi="Arial Unicode MS"/>
          <w:color w:val="1f1f1f"/>
          <w:rtl w:val="0"/>
        </w:rPr>
        <w:t xml:space="preserve">。如果一款小号的乒乓球拍在包装上印刷了吸引幼儿的卡通图案，使用了极为鲜艳夸张的低龄化配色，它将被监管机构毫不留情地定性为玩具 </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一旦球拍被定性为玩具，它将陷入世界上最严苛的儿童安全标准体系。它不仅要符合上述所有的REACH限制，还必须额外通过EN 71系列极端的安全评估。这其中包括EN 71-3中规定的对锑、砷、钡、镉、铬、铅、汞、硒等19种重金属元素在口腔胃酸模拟环境下的极限溶出（迁移）测试，且被允许的浓度限值将比针对普通成年人的REACH标准再低上几个数量级 </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Unicode MS" w:cs="Arial Unicode MS" w:eastAsia="Arial Unicode MS" w:hAnsi="Arial Unicode MS"/>
          <w:color w:val="1f1f1f"/>
          <w:rtl w:val="0"/>
        </w:rPr>
        <w:t xml:space="preserve">。此外，产品必须强制进行庞杂的合格评定程序并加贴神圣的CE认证标志 </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相反，如果这是一款标准的专业比赛用乒乓球拍，其所有的外观设计、材料选择及营销策略都在向市场传递“为了应对竞技体育的物理挑战而制造（built and has features suitable for sport use and the physical challenge）”的属性，那么它将被清晰地划归入“体育器材”的分类 </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Unicode MS" w:cs="Arial Unicode MS" w:eastAsia="Arial Unicode MS" w:hAnsi="Arial Unicode MS"/>
          <w:color w:val="1f1f1f"/>
          <w:rtl w:val="0"/>
        </w:rPr>
        <w:t xml:space="preserve">。作为普通的体育用品，它被明确豁免于玩具指令，且欧盟法律严禁企业在不受CE指令强制管辖的商品上滥用印刷CE标志 </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Unicode MS" w:cs="Arial Unicode MS" w:eastAsia="Arial Unicode MS" w:hAnsi="Arial Unicode MS"/>
          <w:color w:val="1f1f1f"/>
          <w:rtl w:val="0"/>
        </w:rPr>
        <w:t xml:space="preserve">。针对此类普通消费品，欧盟启动了无死角的兜底法案——《通用产品安全法规》（GPSR）。</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GPSR法规的全面接管：信息溯源机制与印刷微观合规</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经历了过渡期的酝酿，欧盟于</w:t>
      </w:r>
      <w:r w:rsidDel="00000000" w:rsidR="00000000" w:rsidRPr="00000000">
        <w:rPr>
          <w:rFonts w:ascii="Arial Unicode MS" w:cs="Arial Unicode MS" w:eastAsia="Arial Unicode MS" w:hAnsi="Arial Unicode MS"/>
          <w:b w:val="1"/>
          <w:bCs w:val="1"/>
          <w:color w:val="1f1f1f"/>
          <w:rtl w:val="0"/>
        </w:rPr>
        <w:t xml:space="preserve">2024年12月13日</w:t>
      </w:r>
      <w:r w:rsidDel="00000000" w:rsidR="00000000" w:rsidRPr="00000000">
        <w:rPr>
          <w:rFonts w:ascii="Arial Unicode MS" w:cs="Arial Unicode MS" w:eastAsia="Arial Unicode MS" w:hAnsi="Arial Unicode MS"/>
          <w:color w:val="1f1f1f"/>
          <w:rtl w:val="0"/>
        </w:rPr>
        <w:t xml:space="preserve">正式将古老的《通用产品安全指令》（GPSD）扫入历史垃圾堆，全面启动具有直接、绝对成员国法律效力的《通用产品安全法规》（GPSR，Regulation (EU) 2023/988） </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Unicode MS" w:cs="Arial Unicode MS" w:eastAsia="Arial Unicode MS" w:hAnsi="Arial Unicode MS"/>
          <w:color w:val="1f1f1f"/>
          <w:rtl w:val="0"/>
        </w:rPr>
        <w:t xml:space="preserve">。随着在线电商与跨境贸易的激增，GPSR的核心合规逻辑被浓缩为建立一个不可篡改、精准溯源的产品信息披露网络 </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在这一体系下，任何投放欧盟市场的乒乓球拍，无论是实体店货架还是在线电商平台销售，都必须向消费者及海关审查官提供一份完整的信息识别矩阵。这要求产品的标签标贴系统必须强制承载以下关键数据：</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物理溯源识别码</w:t>
      </w:r>
      <w:r w:rsidDel="00000000" w:rsidR="00000000" w:rsidRPr="00000000">
        <w:rPr>
          <w:rFonts w:ascii="Arial Unicode MS" w:cs="Arial Unicode MS" w:eastAsia="Arial Unicode MS" w:hAnsi="Arial Unicode MS"/>
          <w:color w:val="1f1f1f"/>
          <w:rtl w:val="0"/>
        </w:rPr>
        <w:t xml:space="preserve">：必须印制能够唯一识别该批次产品的型号（Type）、批次号（Batch number）、序列号（Serial number）或其他具有等同效力的代码 </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Unicode MS" w:cs="Arial Unicode MS" w:eastAsia="Arial Unicode MS" w:hAnsi="Arial Unicode MS"/>
          <w:color w:val="1f1f1f"/>
          <w:rtl w:val="0"/>
        </w:rPr>
        <w:t xml:space="preserve">。这是欧盟RAPEX快速预警系统能够在发生铅超标或PAHs中毒事件时，精准召回特定问题批次的核心依据。</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经济运营商（Economic operators）的实名联络底牌</w:t>
      </w:r>
      <w:r w:rsidDel="00000000" w:rsidR="00000000" w:rsidRPr="00000000">
        <w:rPr>
          <w:rFonts w:ascii="Arial Unicode MS" w:cs="Arial Unicode MS" w:eastAsia="Arial Unicode MS" w:hAnsi="Arial Unicode MS"/>
          <w:color w:val="1f1f1f"/>
          <w:rtl w:val="0"/>
        </w:rPr>
        <w:t xml:space="preserve">：制造商必须在产品上赫然印有其法定注册名称、注册商标以及具体的欧盟境内邮政地址。对于在亚洲制造并出口至欧洲的乒乓球拍，由于境外制造商无法承担欧盟境内的司法责任，标签上必须明确列印出欧盟境内授权责任人（EU Responsible Person）或法定进口商的确切名称及联络地址 </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多语种安全使用说明书（若适用）</w:t>
      </w:r>
      <w:r w:rsidDel="00000000" w:rsidR="00000000" w:rsidRPr="00000000">
        <w:rPr>
          <w:rFonts w:ascii="Arial Unicode MS" w:cs="Arial Unicode MS" w:eastAsia="Arial Unicode MS" w:hAnsi="Arial Unicode MS"/>
          <w:color w:val="1f1f1f"/>
          <w:rtl w:val="0"/>
        </w:rPr>
        <w:t xml:space="preserve">：在产品存在特定潜在风险时，必须附带安全使用指南，且该指南必须被翻译为销售目标地成员国法定的、消费者易于理解的一种或多种当地语言（例如在波兰、德国、法国同步发售，就必须同时提供这三种语言版本的说明） </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在排印设计的微观细节上，欧盟通过对CLP法规的修订（Amending CLP Regulation，要求于2027年1月1日起全面强制适用）对印刷品的可读性作出了严酷的视觉美学规范： 所有承载安全与溯源信息的文字，必须满足严格的“最小字体尺寸（Minimum font size）”要求；文本信息必须在纯白背景上使用黑色油墨印刷（Black on a white background）以形成最大化的视觉对比度；印刷字体严禁使用任何花体或带有装饰性线条的字体，必须采用极为清晰的无衬线字体（Fonts without serifs）；并且在字母的字距与行距设计上，必须保证极端条件下的绝对易读性 </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幸运的是，在考虑到底板木柄狭小的面积以及多孔橡胶表面可能无法承载巨大的不干胶贴纸（且粘贴此类贴纸可能改变球拍的重量分布与物理震动反馈）这一实际困难时，GPSR的立法者留有了一定的柔性空间。根据法规条款，当产品本身的尺寸或物理性质绝对不允许在本体上印刷标签时（When the size or nature of the product does not allow it），这些海量的追溯与安全信息被合法允许转移印制在球拍的防震外包装盒（Packaging）或随附的说明书文件中 </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Unicode MS" w:cs="Arial Unicode MS" w:eastAsia="Arial Unicode MS" w:hAnsi="Arial Unicode MS"/>
          <w:color w:val="1f1f1f"/>
          <w:rtl w:val="0"/>
        </w:rPr>
        <w:t xml:space="preserve">。法规甚至鼓励采用二维码（QR code）或数据矩阵码等电子化、数字化的创新手段来部分承载说明书与追溯数据 </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法国Triman Logo指令与废弃物分类指示印刷机制</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乒乓球拍的外包装盒及透明密封膜最终结束其使命变成垃圾时，欧盟对于环境保护的极端执念通过包装废弃物管理法规得以全面显现，这其中尤以法国政府主导的环保标贴体系最为严格，并正在事实上成为整个欧洲包装合规的基准模版 </w:t>
      </w:r>
      <w:r w:rsidDel="00000000" w:rsidR="00000000" w:rsidRPr="00000000">
        <w:rPr>
          <w:rFonts w:ascii="Arial" w:cs="Arial" w:eastAsia="Arial" w:hAnsi="Arial"/>
          <w:color w:val="444746"/>
          <w:sz w:val="24"/>
          <w:szCs w:val="24"/>
          <w:vertAlign w:val="superscript"/>
          <w:rtl w:val="0"/>
        </w:rPr>
        <w:t xml:space="preserve">70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Triman标志的绝对强制性</w:t>
      </w:r>
      <w:r w:rsidDel="00000000" w:rsidR="00000000" w:rsidRPr="00000000">
        <w:rPr>
          <w:rFonts w:ascii="Arial Unicode MS" w:cs="Arial Unicode MS" w:eastAsia="Arial Unicode MS" w:hAnsi="Arial Unicode MS"/>
          <w:color w:val="1f1f1f"/>
          <w:rtl w:val="0"/>
        </w:rPr>
        <w:t xml:space="preserve">：根据法国环境法规，任何销往法国市场的带包装消费品（包含乒乓球拍纸盒及塑料缩水膜），必须强制性地印有“Triman标志”。这是一个由一个小人抬起手臂指向三个环绕的回收箭头、并伴有一条代表循环利用的背景细线所构成的象形图谱 </w:t>
      </w:r>
      <w:r w:rsidDel="00000000" w:rsidR="00000000" w:rsidRPr="00000000">
        <w:rPr>
          <w:rFonts w:ascii="Arial" w:cs="Arial" w:eastAsia="Arial" w:hAnsi="Arial"/>
          <w:color w:val="444746"/>
          <w:sz w:val="24"/>
          <w:szCs w:val="24"/>
          <w:vertAlign w:val="superscript"/>
          <w:rtl w:val="0"/>
        </w:rPr>
        <w:t xml:space="preserve">70</w:t>
      </w:r>
      <w:r w:rsidDel="00000000" w:rsidR="00000000" w:rsidRPr="00000000">
        <w:rPr>
          <w:rFonts w:ascii="Arial Unicode MS" w:cs="Arial Unicode MS" w:eastAsia="Arial Unicode MS" w:hAnsi="Arial Unicode MS"/>
          <w:color w:val="1f1f1f"/>
          <w:rtl w:val="0"/>
        </w:rPr>
        <w:t xml:space="preserve">。法规对该标志的印刷尺寸有着绝对红线：其尺寸绝对不得小于 </w:t>
      </w:r>
      <w:r w:rsidDel="00000000" w:rsidR="00000000" w:rsidRPr="00000000">
        <w:rPr>
          <w:rFonts w:ascii="Arial" w:cs="Arial" w:eastAsia="Arial" w:hAnsi="Arial"/>
          <w:color w:val="1f1f1f"/>
        </w:rPr>
        <w:drawing>
          <wp:inline distB="19050" distT="19050" distL="19050" distR="19050">
            <wp:extent cx="445591" cy="218055"/>
            <wp:effectExtent b="0" l="0" r="0" t="0"/>
            <wp:docPr id="21"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445591" cy="21805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72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强制分离的分类指示信息（Info-Tri）</w:t>
      </w:r>
      <w:r w:rsidDel="00000000" w:rsidR="00000000" w:rsidRPr="00000000">
        <w:rPr>
          <w:rFonts w:ascii="Arial Unicode MS" w:cs="Arial Unicode MS" w:eastAsia="Arial Unicode MS" w:hAnsi="Arial Unicode MS"/>
          <w:color w:val="1f1f1f"/>
          <w:rtl w:val="0"/>
        </w:rPr>
        <w:t xml:space="preserve">：欧盟的环保逻辑认为仅仅标注可回收是不够的，必须教育消费者如何拆解垃圾。因此，Triman标志绝不允许孤立印制，它必须与一套名为Info-Tri的分类指示图形组合存在。如果球拍的外包装由外部的纸盒（Paperbox）和内部包裹底板的软塑料膜（Plastic wrap）两种不同材质组成，标贴上必须通过详尽的图形化分解说明，清晰地指导消费者将纸盒投入黄色的可回收箱，将塑料膜根据当地政策投入对应的分类垃圾桶中 </w:t>
      </w:r>
      <w:r w:rsidDel="00000000" w:rsidR="00000000" w:rsidRPr="00000000">
        <w:rPr>
          <w:rFonts w:ascii="Arial" w:cs="Arial" w:eastAsia="Arial" w:hAnsi="Arial"/>
          <w:color w:val="444746"/>
          <w:sz w:val="24"/>
          <w:szCs w:val="24"/>
          <w:vertAlign w:val="superscript"/>
          <w:rtl w:val="0"/>
        </w:rPr>
        <w:t xml:space="preserve">72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不可回收材质的连带义务</w:t>
      </w:r>
      <w:r w:rsidDel="00000000" w:rsidR="00000000" w:rsidRPr="00000000">
        <w:rPr>
          <w:rFonts w:ascii="Arial Unicode MS" w:cs="Arial Unicode MS" w:eastAsia="Arial Unicode MS" w:hAnsi="Arial Unicode MS"/>
          <w:color w:val="1f1f1f"/>
          <w:rtl w:val="0"/>
        </w:rPr>
        <w:t xml:space="preserve">：这一体系最大的合规陷阱在于：即便护边的残余物或某种包含复合涂层的包装被认定为“完全不可回收（Non-recyclable）”，法律也明确规定它依然必须印制Triman标志，并在旁边的指示符中明确指导消费者将其投入一般生活垃圾收集系统 </w:t>
      </w:r>
      <w:r w:rsidDel="00000000" w:rsidR="00000000" w:rsidRPr="00000000">
        <w:rPr>
          <w:rFonts w:ascii="Arial" w:cs="Arial" w:eastAsia="Arial" w:hAnsi="Arial"/>
          <w:color w:val="444746"/>
          <w:sz w:val="24"/>
          <w:szCs w:val="24"/>
          <w:vertAlign w:val="superscript"/>
          <w:rtl w:val="0"/>
        </w:rPr>
        <w:t xml:space="preserve">73</w:t>
      </w:r>
      <w:r w:rsidDel="00000000" w:rsidR="00000000" w:rsidRPr="00000000">
        <w:rPr>
          <w:rFonts w:ascii="Arial Unicode MS" w:cs="Arial Unicode MS" w:eastAsia="Arial Unicode MS" w:hAnsi="Arial Unicode MS"/>
          <w:color w:val="1f1f1f"/>
          <w:rtl w:val="0"/>
        </w:rPr>
        <w:t xml:space="preserve">。虽然诸如西班牙的包装及废弃物皇家法令 1055/2022（RDERE）允许生产商在当地使用自由度更高的“整理人标志（Tidy man）”并配以纯文字的“轻质包装”或“纸张/纸板”等字样 </w:t>
      </w:r>
      <w:r w:rsidDel="00000000" w:rsidR="00000000" w:rsidRPr="00000000">
        <w:rPr>
          <w:rFonts w:ascii="Arial" w:cs="Arial" w:eastAsia="Arial" w:hAnsi="Arial"/>
          <w:color w:val="444746"/>
          <w:sz w:val="24"/>
          <w:szCs w:val="24"/>
          <w:vertAlign w:val="superscript"/>
          <w:rtl w:val="0"/>
        </w:rPr>
        <w:t xml:space="preserve">74</w:t>
      </w:r>
      <w:r w:rsidDel="00000000" w:rsidR="00000000" w:rsidRPr="00000000">
        <w:rPr>
          <w:rFonts w:ascii="Arial Unicode MS" w:cs="Arial Unicode MS" w:eastAsia="Arial Unicode MS" w:hAnsi="Arial Unicode MS"/>
          <w:color w:val="1f1f1f"/>
          <w:rtl w:val="0"/>
        </w:rPr>
        <w:t xml:space="preserve">，但在处理高度一体化的跨国供应链标贴设计时，采用能够包容最高合规标准的法国Triman体系组合印制模式，已成为跨国器材品牌的通用最佳实践与防风险壁垒 </w:t>
      </w:r>
      <w:r w:rsidDel="00000000" w:rsidR="00000000" w:rsidRPr="00000000">
        <w:rPr>
          <w:rFonts w:ascii="Arial" w:cs="Arial" w:eastAsia="Arial" w:hAnsi="Arial"/>
          <w:color w:val="444746"/>
          <w:sz w:val="24"/>
          <w:szCs w:val="24"/>
          <w:vertAlign w:val="superscript"/>
          <w:rtl w:val="0"/>
        </w:rPr>
        <w:t xml:space="preserve">72</w:t>
      </w:r>
      <w:r w:rsidDel="00000000" w:rsidR="00000000" w:rsidRPr="00000000">
        <w:rPr>
          <w:rFonts w:ascii="Arial Unicode MS" w:cs="Arial Unicode MS" w:eastAsia="Arial Unicode MS" w:hAnsi="Arial Unicode MS"/>
          <w:color w:val="1f1f1f"/>
          <w:rtl w:val="0"/>
        </w:rPr>
        <w:t xml:space="preserve">。若产品或最大包装面的面积小于 </w:t>
      </w:r>
      <w:r w:rsidDel="00000000" w:rsidR="00000000" w:rsidRPr="00000000">
        <w:rPr>
          <w:rFonts w:ascii="Arial" w:cs="Arial" w:eastAsia="Arial" w:hAnsi="Arial"/>
          <w:color w:val="1f1f1f"/>
        </w:rPr>
        <w:drawing>
          <wp:inline distB="19050" distT="19050" distL="19050" distR="19050">
            <wp:extent cx="539874" cy="217844"/>
            <wp:effectExtent b="0" l="0" r="0" t="0"/>
            <wp:docPr id="22" name="image21.png"/>
            <a:graphic>
              <a:graphicData uri="http://schemas.openxmlformats.org/drawingml/2006/picture">
                <pic:pic>
                  <pic:nvPicPr>
                    <pic:cNvPr id="0" name="image21.png"/>
                    <pic:cNvPicPr preferRelativeResize="0"/>
                  </pic:nvPicPr>
                  <pic:blipFill>
                    <a:blip r:embed="rId58"/>
                    <a:srcRect b="0" l="0" r="0" t="0"/>
                    <a:stretch>
                      <a:fillRect/>
                    </a:stretch>
                  </pic:blipFill>
                  <pic:spPr>
                    <a:xfrm>
                      <a:off x="0" y="0"/>
                      <a:ext cx="539874" cy="21784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，则此类复杂的分类说明才被允许完全转移至数字化渠道显示 </w:t>
      </w:r>
      <w:r w:rsidDel="00000000" w:rsidR="00000000" w:rsidRPr="00000000">
        <w:rPr>
          <w:rFonts w:ascii="Arial" w:cs="Arial" w:eastAsia="Arial" w:hAnsi="Arial"/>
          <w:color w:val="444746"/>
          <w:sz w:val="24"/>
          <w:szCs w:val="24"/>
          <w:vertAlign w:val="superscript"/>
          <w:rtl w:val="0"/>
        </w:rPr>
        <w:t xml:space="preserve">71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 ISO 4892系列：标签与塑料组件的光热加速老化验证测试</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确保印有上述所有合规信息、警告标签以及追溯二维码的油墨，不仅在出厂时清晰可见，更能在产品漫长的物流、仓储乃至被消费者长达数年的使用暴露中（如暴露在球馆强烈的卤素灯光、阳光紫外线及温湿度交替环境中）保持其法定要求的可读性与物理完整性，欧盟测试机构强烈建议乃至要求材料供应商导入依据ISO 4892系列标准设定的“人工加速气候老化（Accelerated Weathering Test）”试验体系 </w:t>
      </w:r>
      <w:r w:rsidDel="00000000" w:rsidR="00000000" w:rsidRPr="00000000">
        <w:rPr>
          <w:rFonts w:ascii="Arial" w:cs="Arial" w:eastAsia="Arial" w:hAnsi="Arial"/>
          <w:color w:val="444746"/>
          <w:sz w:val="24"/>
          <w:szCs w:val="24"/>
          <w:vertAlign w:val="superscript"/>
          <w:rtl w:val="0"/>
        </w:rPr>
        <w:t xml:space="preserve">75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乒乓球拍的塑料护边组件、外包装复合薄膜以及承载GPSR合规信息的纸质不干胶贴纸，会被放入专门设计的环境模拟试验箱中。在符合ISO 4892-3标准的测试循环下，荧光紫外线灯管（Fluorescent UV radiation）将爆发出模拟且被放大的太阳光谱能量轰击样品表面，同时结合控制水喷淋系统（Water spray/moisture）模拟降雨冷凝，并配合极高的黑板温度（Black panel temperature）模拟聚合物表面在阳光直射下吸收的惊人热量 </w:t>
      </w:r>
      <w:r w:rsidDel="00000000" w:rsidR="00000000" w:rsidRPr="00000000">
        <w:rPr>
          <w:rFonts w:ascii="Arial" w:cs="Arial" w:eastAsia="Arial" w:hAnsi="Arial"/>
          <w:color w:val="444746"/>
          <w:sz w:val="24"/>
          <w:szCs w:val="24"/>
          <w:vertAlign w:val="superscript"/>
          <w:rtl w:val="0"/>
        </w:rPr>
        <w:t xml:space="preserve">75</w:t>
      </w:r>
      <w:r w:rsidDel="00000000" w:rsidR="00000000" w:rsidRPr="00000000">
        <w:rPr>
          <w:rFonts w:ascii="Arial Unicode MS" w:cs="Arial Unicode MS" w:eastAsia="Arial Unicode MS" w:hAnsi="Arial Unicode MS"/>
          <w:color w:val="1f1f1f"/>
          <w:rtl w:val="0"/>
        </w:rPr>
        <w:t xml:space="preserve">。通过这种残酷的实验室高压折磨手段，可以将被测试材料长达数年的户外或光照疲劳降解历程，在几周的测试循环内呈现出来 </w:t>
      </w:r>
      <w:r w:rsidDel="00000000" w:rsidR="00000000" w:rsidRPr="00000000">
        <w:rPr>
          <w:rFonts w:ascii="Arial" w:cs="Arial" w:eastAsia="Arial" w:hAnsi="Arial"/>
          <w:color w:val="444746"/>
          <w:sz w:val="24"/>
          <w:szCs w:val="24"/>
          <w:vertAlign w:val="superscript"/>
          <w:rtl w:val="0"/>
        </w:rPr>
        <w:t xml:space="preserve">76</w:t>
      </w:r>
      <w:r w:rsidDel="00000000" w:rsidR="00000000" w:rsidRPr="00000000">
        <w:rPr>
          <w:rFonts w:ascii="Arial Unicode MS" w:cs="Arial Unicode MS" w:eastAsia="Arial Unicode MS" w:hAnsi="Arial Unicode MS"/>
          <w:color w:val="1f1f1f"/>
          <w:rtl w:val="0"/>
        </w:rPr>
        <w:t xml:space="preserve">。 如果在这个过程中，承载EU进口商地址信息的防伪贴纸发生了油墨褪色（Fading）、纸张起泡（Blistering）、剥离或塑料护边发生了由于铅或增塑剂替代不当而引起的剧烈龟裂与粉化（Cracking/Peeling），那么该组件的材料体系及印刷工艺便被判定为存在致命的设计缺陷，必须重新更换耐候树脂与抗UV油墨配方，以防在日后遭到市场监督机构以“安全信息不可识读”为由开出的巨额罚单 </w:t>
      </w:r>
      <w:r w:rsidDel="00000000" w:rsidR="00000000" w:rsidRPr="00000000">
        <w:rPr>
          <w:rFonts w:ascii="Arial" w:cs="Arial" w:eastAsia="Arial" w:hAnsi="Arial"/>
          <w:color w:val="444746"/>
          <w:sz w:val="24"/>
          <w:szCs w:val="24"/>
          <w:vertAlign w:val="superscript"/>
          <w:rtl w:val="0"/>
        </w:rPr>
        <w:t xml:space="preserve">75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六、 结论与合规实施路径</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通过对一支乒乓球拍在底板、橡胶海绵、水性粘合剂、塑料护边以及外围包装这五个维度的深度解构与法律映射验证，本报告揭示了一个发人深省的技术现实：现代乒乓球器材的研发制造已经彻底脱离了单纯的木材加工与橡胶硫化手工业时代，演变成了一场需要同时操纵高分子材料学、毒理学化学阻断机制与复杂国际法律行政协议的精密系统工程。</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从宏观的物理属性来看，乒乓球拍必须严格在国际乒乓球联合会（ITTF）设定的毫米级、甚至是微米级的物理牢笼内舞蹈——胶皮的高径比不得超过1.10、摩擦系数不低于0.50、绝对厚度坚守在4.0mm警戒线内；底板中即使是最高科技的碳纤维加强层也必须被压制在总厚度的7.5%或0.35mm微观限制之内。</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然而，在这些确保竞技体育公平性的物理机械标准之上，欧盟极其宏大且极具惩罚性的化学安全立法架构构成了更高的技术天花板。</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w:t>
      </w:r>
      <w:r w:rsidDel="00000000" w:rsidR="00000000" w:rsidRPr="00000000">
        <w:rPr>
          <w:rFonts w:ascii="Arial Unicode MS" w:cs="Arial Unicode MS" w:eastAsia="Arial Unicode MS" w:hAnsi="Arial Unicode MS"/>
          <w:b w:val="1"/>
          <w:bCs w:val="1"/>
          <w:color w:val="1f1f1f"/>
          <w:rtl w:val="0"/>
        </w:rPr>
        <w:t xml:space="preserve">化学重构</w:t>
      </w:r>
      <w:r w:rsidDel="00000000" w:rsidR="00000000" w:rsidRPr="00000000">
        <w:rPr>
          <w:rFonts w:ascii="Arial Unicode MS" w:cs="Arial Unicode MS" w:eastAsia="Arial Unicode MS" w:hAnsi="Arial Unicode MS"/>
          <w:color w:val="1f1f1f"/>
          <w:rtl w:val="0"/>
        </w:rPr>
        <w:t xml:space="preserve">层面：随着REACH新规在2024年底对PVC铅稳定剂的彻底封杀，以及2026年对底板甲醛释放量进行的“腰斩”式削减（严格限制在环境舱法的 </w:t>
      </w:r>
      <w:r w:rsidDel="00000000" w:rsidR="00000000" w:rsidRPr="00000000">
        <w:rPr>
          <w:rFonts w:ascii="Arial" w:cs="Arial" w:eastAsia="Arial" w:hAnsi="Arial"/>
          <w:color w:val="1f1f1f"/>
        </w:rPr>
        <w:drawing>
          <wp:inline distB="19050" distT="19050" distL="19050" distR="19050">
            <wp:extent cx="1031672" cy="229260"/>
            <wp:effectExtent b="0" l="0" r="0" t="0"/>
            <wp:docPr id="23"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1031672" cy="22926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以下），制造商必须发起对其核心供应链配方材料的痛苦替代。</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w:t>
      </w:r>
      <w:r w:rsidDel="00000000" w:rsidR="00000000" w:rsidRPr="00000000">
        <w:rPr>
          <w:rFonts w:ascii="Arial Unicode MS" w:cs="Arial Unicode MS" w:eastAsia="Arial Unicode MS" w:hAnsi="Arial Unicode MS"/>
          <w:b w:val="1"/>
          <w:bCs w:val="1"/>
          <w:color w:val="1f1f1f"/>
          <w:rtl w:val="0"/>
        </w:rPr>
        <w:t xml:space="preserve">聚合物毒性与防腐阻断</w:t>
      </w:r>
      <w:r w:rsidDel="00000000" w:rsidR="00000000" w:rsidRPr="00000000">
        <w:rPr>
          <w:rFonts w:ascii="Arial Unicode MS" w:cs="Arial Unicode MS" w:eastAsia="Arial Unicode MS" w:hAnsi="Arial Unicode MS"/>
          <w:color w:val="1f1f1f"/>
          <w:rtl w:val="0"/>
        </w:rPr>
        <w:t xml:space="preserve">层面：接触皮肤的海绵与胶皮必须剥离任何残留的多环芳烃（PAHs），使其8种高危致癌物浓度严格低于 </w:t>
      </w:r>
      <w:r w:rsidDel="00000000" w:rsidR="00000000" w:rsidRPr="00000000">
        <w:rPr>
          <w:rFonts w:ascii="Arial" w:cs="Arial" w:eastAsia="Arial" w:hAnsi="Arial"/>
          <w:color w:val="1f1f1f"/>
        </w:rPr>
        <w:drawing>
          <wp:inline distB="19050" distT="19050" distL="19050" distR="19050">
            <wp:extent cx="666006" cy="218831"/>
            <wp:effectExtent b="0" l="0" r="0" t="0"/>
            <wp:docPr id="25"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666006" cy="21883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面对挥发性有机化合物（VOC）的赛场零容忍禁令，水性胶水虽成为了唯一解，却又立即陷入了欧盟生物杀灭剂（BPR）的合规悖论——为了避免产品贴上令人恐慌的致敏危险品标签（H317），制造商必须施展出神入化的化工微调手腕，将最有效的MIT防腐剂浓度精准锁定在 </w:t>
      </w:r>
      <w:r w:rsidDel="00000000" w:rsidR="00000000" w:rsidRPr="00000000">
        <w:rPr>
          <w:rFonts w:ascii="Arial" w:cs="Arial" w:eastAsia="Arial" w:hAnsi="Arial"/>
          <w:color w:val="1f1f1f"/>
        </w:rPr>
        <w:drawing>
          <wp:inline distB="19050" distT="19050" distL="19050" distR="19050">
            <wp:extent cx="589285" cy="218606"/>
            <wp:effectExtent b="0" l="0" r="0" t="0"/>
            <wp:docPr id="27"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589285" cy="21860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以下这根比头发丝还要细的化学红线之上。</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最后，在</w:t>
      </w:r>
      <w:r w:rsidDel="00000000" w:rsidR="00000000" w:rsidRPr="00000000">
        <w:rPr>
          <w:rFonts w:ascii="Arial Unicode MS" w:cs="Arial Unicode MS" w:eastAsia="Arial Unicode MS" w:hAnsi="Arial Unicode MS"/>
          <w:b w:val="1"/>
          <w:bCs w:val="1"/>
          <w:color w:val="1f1f1f"/>
          <w:rtl w:val="0"/>
        </w:rPr>
        <w:t xml:space="preserve">商业行政溯源</w:t>
      </w:r>
      <w:r w:rsidDel="00000000" w:rsidR="00000000" w:rsidRPr="00000000">
        <w:rPr>
          <w:rFonts w:ascii="Arial Unicode MS" w:cs="Arial Unicode MS" w:eastAsia="Arial Unicode MS" w:hAnsi="Arial Unicode MS"/>
          <w:color w:val="1f1f1f"/>
          <w:rtl w:val="0"/>
        </w:rPr>
        <w:t xml:space="preserve">层面：《通用产品安全法规》（GPSR）与法国Triman等包装循环指令，彻底剥夺了企业在供应链中的匿名权。强制实施的高清晰度无衬线字体印刷、物理尺寸不得小于6mm的强制分类回收标识，以及直接关联至欧盟境内法定责任人的精准批次追踪码，共同织就了一张透明的信息巨网。</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因此，对于任何旨在向欧洲市场出口或在本土推广高性能乒乓球器材的机构与跨国企业而言，唯有建立起融合了ITTF赛事器材检测参数体系、REACH/CLP高度精细的微量化学物质浓度图谱，以及ISO质量溯源管理架构于一体的全生命周期合规研发机制，才能确保这些凝结了精密机械与材料学智慧的运动兵器，安全且合法地在欧洲广阔的竞技赛场与消费市场中自由驰骋。</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Read ITTF Table Tennis Rules, 访问时间为 四月 25, 2026， </w:t>
      </w:r>
      <w:hyperlink r:id="rId59">
        <w:r w:rsidDel="00000000" w:rsidR="00000000" w:rsidRPr="00000000">
          <w:rPr>
            <w:rFonts w:ascii="Arial" w:cs="Arial" w:eastAsia="Arial" w:hAnsi="Arial"/>
            <w:color w:val="0000ee"/>
            <w:sz w:val="24"/>
            <w:szCs w:val="24"/>
            <w:u w:val="single"/>
            <w:rtl w:val="0"/>
          </w:rPr>
          <w:t xml:space="preserve">https://cornilleau-tabletennis.com.au/official-ittf-table-tennis-rules</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ITTF Statutes 2025 - Megaspin, 访问时间为 四月 25, 2026， </w:t>
      </w:r>
      <w:hyperlink r:id="rId60">
        <w:r w:rsidDel="00000000" w:rsidR="00000000" w:rsidRPr="00000000">
          <w:rPr>
            <w:rFonts w:ascii="Arial" w:cs="Arial" w:eastAsia="Arial" w:hAnsi="Arial"/>
            <w:color w:val="0000ee"/>
            <w:sz w:val="24"/>
            <w:szCs w:val="24"/>
            <w:u w:val="single"/>
            <w:rtl w:val="0"/>
          </w:rPr>
          <w:t xml:space="preserve">https://cdn.megaspin.net/rules/pdf/2025/ittf-rules-2.pdf</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If everything needs to be ITTF approved, are you not allowed to modify or make your own paddle? : r/tabletennis - Reddit, 访问时间为 四月 25, 2026， </w:t>
      </w:r>
      <w:hyperlink r:id="rId61">
        <w:r w:rsidDel="00000000" w:rsidR="00000000" w:rsidRPr="00000000">
          <w:rPr>
            <w:rFonts w:ascii="Arial" w:cs="Arial" w:eastAsia="Arial" w:hAnsi="Arial"/>
            <w:color w:val="0000ee"/>
            <w:sz w:val="24"/>
            <w:szCs w:val="24"/>
            <w:u w:val="single"/>
            <w:rtl w:val="0"/>
          </w:rPr>
          <w:t xml:space="preserve">https://www.reddit.com/r/tabletennis/comments/k6o52a/if_everything_needs_to_be_ittf_approved_are_you/</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Handbook - International Table Tennis Federation, 访问时间为 四月 25, 2026， </w:t>
      </w:r>
      <w:hyperlink r:id="rId62">
        <w:r w:rsidDel="00000000" w:rsidR="00000000" w:rsidRPr="00000000">
          <w:rPr>
            <w:rFonts w:ascii="Arial" w:cs="Arial" w:eastAsia="Arial" w:hAnsi="Arial"/>
            <w:color w:val="0000ee"/>
            <w:sz w:val="24"/>
            <w:szCs w:val="24"/>
            <w:u w:val="single"/>
            <w:rtl w:val="0"/>
          </w:rPr>
          <w:t xml:space="preserve">https://documents.ittf.sport/sites/default/files/public/2022-02/ITTF_HB_2022_clean_v1_0.pdf</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Table Tennis Rules | Killerspin, 访问时间为 四月 25, 2026， </w:t>
      </w:r>
      <w:hyperlink r:id="rId63">
        <w:r w:rsidDel="00000000" w:rsidR="00000000" w:rsidRPr="00000000">
          <w:rPr>
            <w:rFonts w:ascii="Arial" w:cs="Arial" w:eastAsia="Arial" w:hAnsi="Arial"/>
            <w:color w:val="0000ee"/>
            <w:sz w:val="24"/>
            <w:szCs w:val="24"/>
            <w:u w:val="single"/>
            <w:rtl w:val="0"/>
          </w:rPr>
          <w:t xml:space="preserve">https://www.killerspin.com/blogs/tips/table-tennis-rules</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Racket Coverings - Table Tennis Federation, 访问时间为 四月 25, 2026， </w:t>
      </w:r>
      <w:hyperlink r:id="rId64">
        <w:r w:rsidDel="00000000" w:rsidR="00000000" w:rsidRPr="00000000">
          <w:rPr>
            <w:rFonts w:ascii="Arial" w:cs="Arial" w:eastAsia="Arial" w:hAnsi="Arial"/>
            <w:color w:val="0000ee"/>
            <w:sz w:val="24"/>
            <w:szCs w:val="24"/>
            <w:u w:val="single"/>
            <w:rtl w:val="0"/>
          </w:rPr>
          <w:t xml:space="preserve">https://sb860dd8300858e7d.jimcontent.com/download/version/1601241580/module/13935093124/name/T4_Racket_Coverings.pdf</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Racket Coverings, 访问时间为 四月 25, 2026， </w:t>
      </w:r>
      <w:hyperlink r:id="rId65">
        <w:r w:rsidDel="00000000" w:rsidR="00000000" w:rsidRPr="00000000">
          <w:rPr>
            <w:rFonts w:ascii="Arial" w:cs="Arial" w:eastAsia="Arial" w:hAnsi="Arial"/>
            <w:color w:val="0000ee"/>
            <w:sz w:val="24"/>
            <w:szCs w:val="24"/>
            <w:u w:val="single"/>
            <w:rtl w:val="0"/>
          </w:rPr>
          <w:t xml:space="preserve">http://sr.bttv.de/fileadmin/bttv/media/SR/pdf/T4_Racket_Coverings_2007+.pdf</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Guidance on the EU Timber Regulation - EEAS, 访问时间为 四月 25, 2026， </w:t>
      </w:r>
      <w:hyperlink r:id="rId66">
        <w:r w:rsidDel="00000000" w:rsidR="00000000" w:rsidRPr="00000000">
          <w:rPr>
            <w:rFonts w:ascii="Arial" w:cs="Arial" w:eastAsia="Arial" w:hAnsi="Arial"/>
            <w:color w:val="0000ee"/>
            <w:sz w:val="24"/>
            <w:szCs w:val="24"/>
            <w:u w:val="single"/>
            <w:rtl w:val="0"/>
          </w:rPr>
          <w:t xml:space="preserve">https://www.eeas.europa.eu/sites/default/files/eu_timber_regulation_guidance_en.pdf</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EU Timber Regulation - Fact sheet - Stora Enso, 访问时间为 四月 25, 2026， </w:t>
      </w:r>
      <w:hyperlink r:id="rId67">
        <w:r w:rsidDel="00000000" w:rsidR="00000000" w:rsidRPr="00000000">
          <w:rPr>
            <w:rFonts w:ascii="Arial" w:cs="Arial" w:eastAsia="Arial" w:hAnsi="Arial"/>
            <w:color w:val="0000ee"/>
            <w:sz w:val="24"/>
            <w:szCs w:val="24"/>
            <w:u w:val="single"/>
            <w:rtl w:val="0"/>
          </w:rPr>
          <w:t xml:space="preserve">https://www.storaenso.com/-/media/documents/download-center/documents/sustainability/se_fact_sheet_eu_timber_regulation_may_2018_eng.pdf</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EU timbEr rEgUlation - Proforest, 访问时间为 四月 25, 2026， </w:t>
      </w:r>
      <w:hyperlink r:id="rId68">
        <w:r w:rsidDel="00000000" w:rsidR="00000000" w:rsidRPr="00000000">
          <w:rPr>
            <w:rFonts w:ascii="Arial" w:cs="Arial" w:eastAsia="Arial" w:hAnsi="Arial"/>
            <w:color w:val="0000ee"/>
            <w:sz w:val="24"/>
            <w:szCs w:val="24"/>
            <w:u w:val="single"/>
            <w:rtl w:val="0"/>
          </w:rPr>
          <w:t xml:space="preserve">https://www.proforest.net/en/files/eu-timber-regulation-briefing-note.pdf/view?set_language=en</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EU Timber Regulation (EUTR) | FGP - Forest Governance &amp; Policy, 访问时间为 四月 25, 2026， </w:t>
      </w:r>
      <w:hyperlink r:id="rId69">
        <w:r w:rsidDel="00000000" w:rsidR="00000000" w:rsidRPr="00000000">
          <w:rPr>
            <w:rFonts w:ascii="Arial" w:cs="Arial" w:eastAsia="Arial" w:hAnsi="Arial"/>
            <w:color w:val="0000ee"/>
            <w:sz w:val="24"/>
            <w:szCs w:val="24"/>
            <w:u w:val="single"/>
            <w:rtl w:val="0"/>
          </w:rPr>
          <w:t xml:space="preserve">https://forestpolicy.org/policy-law/eu-timber-regulation-eutr</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EU TIMBER REGULATION Revised Version, February 2018 - Forest Stewardship Council, 访问时间为 四月 25, 2026， </w:t>
      </w:r>
      <w:hyperlink r:id="rId70">
        <w:r w:rsidDel="00000000" w:rsidR="00000000" w:rsidRPr="00000000">
          <w:rPr>
            <w:rFonts w:ascii="Arial" w:cs="Arial" w:eastAsia="Arial" w:hAnsi="Arial"/>
            <w:color w:val="0000ee"/>
            <w:sz w:val="24"/>
            <w:szCs w:val="24"/>
            <w:u w:val="single"/>
            <w:rtl w:val="0"/>
          </w:rPr>
          <w:t xml:space="preserve">https://fsc.org/sites/default/files/2019-04/FSC%20guidance%20update%2003-18%20English.pdf</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European Regulations for Formaldehyde, 访问时间为 四月 25, 2026， </w:t>
      </w:r>
      <w:hyperlink r:id="rId71">
        <w:r w:rsidDel="00000000" w:rsidR="00000000" w:rsidRPr="00000000">
          <w:rPr>
            <w:rFonts w:ascii="Arial" w:cs="Arial" w:eastAsia="Arial" w:hAnsi="Arial"/>
            <w:color w:val="0000ee"/>
            <w:sz w:val="24"/>
            <w:szCs w:val="24"/>
            <w:u w:val="single"/>
            <w:rtl w:val="0"/>
          </w:rPr>
          <w:t xml:space="preserve">https://owic.oregonstate.edu/sites/default/files/pubs/Schwab.pdf</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Formaldehyde Testing according to EU Regulations | Measurlabs, 访问时间为 四月 25, 2026， </w:t>
      </w:r>
      <w:hyperlink r:id="rId72">
        <w:r w:rsidDel="00000000" w:rsidR="00000000" w:rsidRPr="00000000">
          <w:rPr>
            <w:rFonts w:ascii="Arial" w:cs="Arial" w:eastAsia="Arial" w:hAnsi="Arial"/>
            <w:color w:val="0000ee"/>
            <w:sz w:val="24"/>
            <w:szCs w:val="24"/>
            <w:u w:val="single"/>
            <w:rtl w:val="0"/>
          </w:rPr>
          <w:t xml:space="preserve">https://measurlabs.com/blog/formaldehyde-testing-and-regulations-in-the-eu/</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EU-wide regulation of formaldehyde limits from 2026: Fraunhofer WKI offers “REAC-H-CHO” certification, 访问时间为 四月 25, 2026， </w:t>
      </w:r>
      <w:hyperlink r:id="rId73">
        <w:r w:rsidDel="00000000" w:rsidR="00000000" w:rsidRPr="00000000">
          <w:rPr>
            <w:rFonts w:ascii="Arial" w:cs="Arial" w:eastAsia="Arial" w:hAnsi="Arial"/>
            <w:color w:val="0000ee"/>
            <w:sz w:val="24"/>
            <w:szCs w:val="24"/>
            <w:u w:val="single"/>
            <w:rtl w:val="0"/>
          </w:rPr>
          <w:t xml:space="preserve">https://www.wki.fraunhofer.de/en/departments/qa/profile/news/certification-reach.html</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European Formaldehyde Test Methods: Procedures and Practical Experiences - Regulations.gov, 访问时间为 四月 25, 2026， </w:t>
      </w:r>
      <w:hyperlink r:id="rId74">
        <w:r w:rsidDel="00000000" w:rsidR="00000000" w:rsidRPr="00000000">
          <w:rPr>
            <w:rFonts w:ascii="Arial" w:cs="Arial" w:eastAsia="Arial" w:hAnsi="Arial"/>
            <w:color w:val="0000ee"/>
            <w:sz w:val="24"/>
            <w:szCs w:val="24"/>
            <w:u w:val="single"/>
            <w:rtl w:val="0"/>
          </w:rPr>
          <w:t xml:space="preserve">https://downloads.regulations.gov/EPA-HQ-OPPT-2008-0627-0144/attachment_27.pdf</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Table tennis rubber - Wikipedia, 访问时间为 四月 25, 2026， </w:t>
      </w:r>
      <w:hyperlink r:id="rId75">
        <w:r w:rsidDel="00000000" w:rsidR="00000000" w:rsidRPr="00000000">
          <w:rPr>
            <w:rFonts w:ascii="Arial" w:cs="Arial" w:eastAsia="Arial" w:hAnsi="Arial"/>
            <w:color w:val="0000ee"/>
            <w:sz w:val="24"/>
            <w:szCs w:val="24"/>
            <w:u w:val="single"/>
            <w:rtl w:val="0"/>
          </w:rPr>
          <w:t xml:space="preserve">https://en.wikipedia.org/wiki/Table_tennis_rubber</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Technical Leaflet T4: Racket Coverings - Worksop Table Tennis League, 访问时间为 四月 25, 2026， </w:t>
      </w:r>
      <w:hyperlink r:id="rId76">
        <w:r w:rsidDel="00000000" w:rsidR="00000000" w:rsidRPr="00000000">
          <w:rPr>
            <w:rFonts w:ascii="Arial" w:cs="Arial" w:eastAsia="Arial" w:hAnsi="Arial"/>
            <w:color w:val="0000ee"/>
            <w:sz w:val="24"/>
            <w:szCs w:val="24"/>
            <w:u w:val="single"/>
            <w:rtl w:val="0"/>
          </w:rPr>
          <w:t xml:space="preserve">https://worksoptabletennisleague.com/admin/resources/ittf-list-of-approved-rubbers.pdf</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All you need to know about ITTF and JTTA approved table tennis equipment - Nishohi, 访问时间为 四月 25, 2026， </w:t>
      </w:r>
      <w:hyperlink r:id="rId77">
        <w:r w:rsidDel="00000000" w:rsidR="00000000" w:rsidRPr="00000000">
          <w:rPr>
            <w:rFonts w:ascii="Arial" w:cs="Arial" w:eastAsia="Arial" w:hAnsi="Arial"/>
            <w:color w:val="0000ee"/>
            <w:sz w:val="24"/>
            <w:szCs w:val="24"/>
            <w:u w:val="single"/>
            <w:rtl w:val="0"/>
          </w:rPr>
          <w:t xml:space="preserve">https://www.nishohi.com/cn/blog/post/table-tennis/ittf-jtta-approved-requirement</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Study on the aging of three typical rubber materials under high- and low-temperature cyclic environment - ResearchGate, 访问时间为 四月 25, 2026， </w:t>
      </w:r>
      <w:hyperlink r:id="rId78">
        <w:r w:rsidDel="00000000" w:rsidR="00000000" w:rsidRPr="00000000">
          <w:rPr>
            <w:rFonts w:ascii="Arial" w:cs="Arial" w:eastAsia="Arial" w:hAnsi="Arial"/>
            <w:color w:val="0000ee"/>
            <w:sz w:val="24"/>
            <w:szCs w:val="24"/>
            <w:u w:val="single"/>
            <w:rtl w:val="0"/>
          </w:rPr>
          <w:t xml:space="preserve">https://www.researchgate.net/publication/368468490_Study_on_the_aging_of_three_typical_rubber_materials_under_high-_and_low-temperature_cyclic_environment</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 Comparative Study of Thermal Aging Effect on the Properties of Silicone-Based and Silicone-Free Thermal Gap Filler Materials - PMC, 访问时间为 四月 25, 2026， </w:t>
      </w:r>
      <w:hyperlink r:id="rId79">
        <w:r w:rsidDel="00000000" w:rsidR="00000000" w:rsidRPr="00000000">
          <w:rPr>
            <w:rFonts w:ascii="Arial" w:cs="Arial" w:eastAsia="Arial" w:hAnsi="Arial"/>
            <w:color w:val="0000ee"/>
            <w:sz w:val="24"/>
            <w:szCs w:val="24"/>
            <w:u w:val="single"/>
            <w:rtl w:val="0"/>
          </w:rPr>
          <w:t xml:space="preserve">https://pmc.ncbi.nlm.nih.gov/articles/PMC8269627/</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Thermal ageing studies on room-temperature vulcanised polysiloxane rubbers | Request PDF - ResearchGate, 访问时间为 四月 25, 2026， </w:t>
      </w:r>
      <w:hyperlink r:id="rId80">
        <w:r w:rsidDel="00000000" w:rsidR="00000000" w:rsidRPr="00000000">
          <w:rPr>
            <w:rFonts w:ascii="Arial" w:cs="Arial" w:eastAsia="Arial" w:hAnsi="Arial"/>
            <w:color w:val="0000ee"/>
            <w:sz w:val="24"/>
            <w:szCs w:val="24"/>
            <w:u w:val="single"/>
            <w:rtl w:val="0"/>
          </w:rPr>
          <w:t xml:space="preserve">https://www.researchgate.net/publication/223614629_Thermal_ageing_studies_on_room-temperature_vulcanised_polysiloxane_rubbers</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Effect of Aging Process Conditions on the Thermal Properties of Poly(Dimethylsiloxane)-Based Silicone Rubber - MDPI, 访问时间为 四月 25, 2026， </w:t>
      </w:r>
      <w:hyperlink r:id="rId81">
        <w:r w:rsidDel="00000000" w:rsidR="00000000" w:rsidRPr="00000000">
          <w:rPr>
            <w:rFonts w:ascii="Arial" w:cs="Arial" w:eastAsia="Arial" w:hAnsi="Arial"/>
            <w:color w:val="0000ee"/>
            <w:sz w:val="24"/>
            <w:szCs w:val="24"/>
            <w:u w:val="single"/>
            <w:rtl w:val="0"/>
          </w:rPr>
          <w:t xml:space="preserve">https://www.mdpi.com/1996-1944/17/22/5608</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US5910528A - Table tennis rubber solvent and adhesive systems - Google Patents, 访问时间为 四月 25, 2026， </w:t>
      </w:r>
      <w:hyperlink r:id="rId82">
        <w:r w:rsidDel="00000000" w:rsidR="00000000" w:rsidRPr="00000000">
          <w:rPr>
            <w:rFonts w:ascii="Arial" w:cs="Arial" w:eastAsia="Arial" w:hAnsi="Arial"/>
            <w:color w:val="0000ee"/>
            <w:sz w:val="24"/>
            <w:szCs w:val="24"/>
            <w:u w:val="single"/>
            <w:rtl w:val="0"/>
          </w:rPr>
          <w:t xml:space="preserve">https://patents.google.com/patent/US5910528A/en</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Do packaged rubbers degrade over time? : r/tabletennis - Reddit, 访问时间为 四月 25, 2026， </w:t>
      </w:r>
      <w:hyperlink r:id="rId83">
        <w:r w:rsidDel="00000000" w:rsidR="00000000" w:rsidRPr="00000000">
          <w:rPr>
            <w:rFonts w:ascii="Arial" w:cs="Arial" w:eastAsia="Arial" w:hAnsi="Arial"/>
            <w:color w:val="0000ee"/>
            <w:sz w:val="24"/>
            <w:szCs w:val="24"/>
            <w:u w:val="single"/>
            <w:rtl w:val="0"/>
          </w:rPr>
          <w:t xml:space="preserve">https://www.reddit.com/r/tabletennis/comments/sgfk23/do_packaged_rubbers_degrade_over_time/</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REACH, ANNEX XVII, RESTRICTIONS ON THE MANUFACTURE, PLACING ON THE MARKET AND USE OF CERTAIN DANGEROUS SUBSTANCES, MIXTURES AND ARTICLES, 访问时间为 四月 25, 2026， </w:t>
      </w:r>
      <w:hyperlink r:id="rId84">
        <w:r w:rsidDel="00000000" w:rsidR="00000000" w:rsidRPr="00000000">
          <w:rPr>
            <w:rFonts w:ascii="Arial" w:cs="Arial" w:eastAsia="Arial" w:hAnsi="Arial"/>
            <w:color w:val="0000ee"/>
            <w:sz w:val="24"/>
            <w:szCs w:val="24"/>
            <w:u w:val="single"/>
            <w:rtl w:val="0"/>
          </w:rPr>
          <w:t xml:space="preserve">https://reachonline.eu/reach/en/annex-xvii.html</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EU REACH: Guideline on PAH restriction in consumer products published - TÜV SÜD, 访问时间为 四月 25, 2026， </w:t>
      </w:r>
      <w:hyperlink r:id="rId85">
        <w:r w:rsidDel="00000000" w:rsidR="00000000" w:rsidRPr="00000000">
          <w:rPr>
            <w:rFonts w:ascii="Arial" w:cs="Arial" w:eastAsia="Arial" w:hAnsi="Arial"/>
            <w:color w:val="0000ee"/>
            <w:sz w:val="24"/>
            <w:szCs w:val="24"/>
            <w:u w:val="single"/>
            <w:rtl w:val="0"/>
          </w:rPr>
          <w:t xml:space="preserve">https://www.tuvsud.com/en-us/e-ssentials-newsletter/consumer-products-and-retail-essentials/e-ssentials-8-2018/eu-reach---guideline-on-pah-restriction-in-consumer-products-published</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PAH Testing for REACH Compliance | Measurlabs, 访问时间为 四月 25, 2026， </w:t>
      </w:r>
      <w:hyperlink r:id="rId86">
        <w:r w:rsidDel="00000000" w:rsidR="00000000" w:rsidRPr="00000000">
          <w:rPr>
            <w:rFonts w:ascii="Arial" w:cs="Arial" w:eastAsia="Arial" w:hAnsi="Arial"/>
            <w:color w:val="0000ee"/>
            <w:sz w:val="24"/>
            <w:szCs w:val="24"/>
            <w:u w:val="single"/>
            <w:rtl w:val="0"/>
          </w:rPr>
          <w:t xml:space="preserve">https://measurlabs.com/products/polycyclic-aromatic-hydrocarbons-pahs-in-plastic-and-rubber-reach/</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ECHA Publishes Guideline for PAHS under REACH | SGS USA, 访问时间为 四月 25, 2026， </w:t>
      </w:r>
      <w:hyperlink r:id="rId87">
        <w:r w:rsidDel="00000000" w:rsidR="00000000" w:rsidRPr="00000000">
          <w:rPr>
            <w:rFonts w:ascii="Arial" w:cs="Arial" w:eastAsia="Arial" w:hAnsi="Arial"/>
            <w:color w:val="0000ee"/>
            <w:sz w:val="24"/>
            <w:szCs w:val="24"/>
            <w:u w:val="single"/>
            <w:rtl w:val="0"/>
          </w:rPr>
          <w:t xml:space="preserve">https://www.sgs.com/en-us/news/2018/04/safeguards-05318-echa-publishes-guideline-for-pahs-under-reach</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Water-based glue and possible blade damage : r/tabletennis - Reddit, 访问时间为 四月 25, 2026， </w:t>
      </w:r>
      <w:hyperlink r:id="rId88">
        <w:r w:rsidDel="00000000" w:rsidR="00000000" w:rsidRPr="00000000">
          <w:rPr>
            <w:rFonts w:ascii="Arial" w:cs="Arial" w:eastAsia="Arial" w:hAnsi="Arial"/>
            <w:color w:val="0000ee"/>
            <w:sz w:val="24"/>
            <w:szCs w:val="24"/>
            <w:u w:val="single"/>
            <w:rtl w:val="0"/>
          </w:rPr>
          <w:t xml:space="preserve">https://www.reddit.com/r/tabletennis/comments/1cbsilv/waterbased_glue_and_possible_blade_damage/</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Recently switched glues, the difference between them was immense. : r/tabletennis - Reddit, 访问时间为 四月 25, 2026， </w:t>
      </w:r>
      <w:hyperlink r:id="rId89">
        <w:r w:rsidDel="00000000" w:rsidR="00000000" w:rsidRPr="00000000">
          <w:rPr>
            <w:rFonts w:ascii="Arial" w:cs="Arial" w:eastAsia="Arial" w:hAnsi="Arial"/>
            <w:color w:val="0000ee"/>
            <w:sz w:val="24"/>
            <w:szCs w:val="24"/>
            <w:u w:val="single"/>
            <w:rtl w:val="0"/>
          </w:rPr>
          <w:t xml:space="preserve">https://www.reddit.com/r/tabletennis/comments/2zpzif/recently_switched_glues_the_difference_between/</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Glue - TableTennisDaily, 访问时间为 四月 25, 2026， </w:t>
      </w:r>
      <w:hyperlink r:id="rId90">
        <w:r w:rsidDel="00000000" w:rsidR="00000000" w:rsidRPr="00000000">
          <w:rPr>
            <w:rFonts w:ascii="Arial" w:cs="Arial" w:eastAsia="Arial" w:hAnsi="Arial"/>
            <w:color w:val="0000ee"/>
            <w:sz w:val="24"/>
            <w:szCs w:val="24"/>
            <w:u w:val="single"/>
            <w:rtl w:val="0"/>
          </w:rPr>
          <w:t xml:space="preserve">https://www.tabletennisdaily.com/forum/topics/glue.288/</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ITTF Glue Ban Details - NCTTA, 访问时间为 四月 25, 2026， </w:t>
      </w:r>
      <w:hyperlink r:id="rId91">
        <w:r w:rsidDel="00000000" w:rsidR="00000000" w:rsidRPr="00000000">
          <w:rPr>
            <w:rFonts w:ascii="Arial" w:cs="Arial" w:eastAsia="Arial" w:hAnsi="Arial"/>
            <w:color w:val="0000ee"/>
            <w:sz w:val="24"/>
            <w:szCs w:val="24"/>
            <w:u w:val="single"/>
            <w:rtl w:val="0"/>
          </w:rPr>
          <w:t xml:space="preserve">http://www.nctta.org/2008-09/ITTFGlueBan.htm</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Ping Pong Paddle Glue: The Real-World Guide to Choosing, Applying, and Maximizing Your Rubber Bond - AliExpress, 访问时间为 四月 25, 2026， </w:t>
      </w:r>
      <w:hyperlink r:id="rId92">
        <w:r w:rsidDel="00000000" w:rsidR="00000000" w:rsidRPr="00000000">
          <w:rPr>
            <w:rFonts w:ascii="Arial" w:cs="Arial" w:eastAsia="Arial" w:hAnsi="Arial"/>
            <w:color w:val="0000ee"/>
            <w:sz w:val="24"/>
            <w:szCs w:val="24"/>
            <w:u w:val="single"/>
            <w:rtl w:val="0"/>
          </w:rPr>
          <w:t xml:space="preserve">https://www.aliexpress.com/s/wiki-ssr/article/ping-pong-paddle-glue</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Regulatory Status of Methylisothiazolinone (MIT) and Methylchloroisothiazolinone &amp; Methylisothiazolinone (CMIT - Ashland, 访问时间为 四月 25, 2026， </w:t>
      </w:r>
      <w:hyperlink r:id="rId93">
        <w:r w:rsidDel="00000000" w:rsidR="00000000" w:rsidRPr="00000000">
          <w:rPr>
            <w:rFonts w:ascii="Arial" w:cs="Arial" w:eastAsia="Arial" w:hAnsi="Arial"/>
            <w:color w:val="0000ee"/>
            <w:sz w:val="24"/>
            <w:szCs w:val="24"/>
            <w:u w:val="single"/>
            <w:rtl w:val="0"/>
          </w:rPr>
          <w:t xml:space="preserve">https://www.ashland.com/file_source/Ashland/Articles/PreservativesNewsletter.pdf</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New rules on BIT and MIT: limits, labelling and corporate responsibilities - Epy, 访问时间为 四月 25, 2026， </w:t>
      </w:r>
      <w:hyperlink r:id="rId94">
        <w:r w:rsidDel="00000000" w:rsidR="00000000" w:rsidRPr="00000000">
          <w:rPr>
            <w:rFonts w:ascii="Arial" w:cs="Arial" w:eastAsia="Arial" w:hAnsi="Arial"/>
            <w:color w:val="0000ee"/>
            <w:sz w:val="24"/>
            <w:szCs w:val="24"/>
            <w:u w:val="single"/>
            <w:rtl w:val="0"/>
          </w:rPr>
          <w:t xml:space="preserve">https://www.epy.it/new-rules-on-bit-and-mit-limits-labelling-and-corporate-responsibilities/?lang=en</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MIT classification-free additives – BYK - Regulatory affairs, 访问时间为 四月 25, 2026， </w:t>
      </w:r>
      <w:hyperlink r:id="rId95">
        <w:r w:rsidDel="00000000" w:rsidR="00000000" w:rsidRPr="00000000">
          <w:rPr>
            <w:rFonts w:ascii="Arial" w:cs="Arial" w:eastAsia="Arial" w:hAnsi="Arial"/>
            <w:color w:val="0000ee"/>
            <w:sz w:val="24"/>
            <w:szCs w:val="24"/>
            <w:u w:val="single"/>
            <w:rtl w:val="0"/>
          </w:rPr>
          <w:t xml:space="preserve">https://www.byk.com/en/service/regulatory-affairs/mit-classification-free-additives</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DHS Edge Tape: A Comprehensive Review for Table Tennis Players - AliExpress, 访问时间为 四月 25, 2026， </w:t>
      </w:r>
      <w:hyperlink r:id="rId96">
        <w:r w:rsidDel="00000000" w:rsidR="00000000" w:rsidRPr="00000000">
          <w:rPr>
            <w:rFonts w:ascii="Arial" w:cs="Arial" w:eastAsia="Arial" w:hAnsi="Arial"/>
            <w:color w:val="0000ee"/>
            <w:sz w:val="24"/>
            <w:szCs w:val="24"/>
            <w:u w:val="single"/>
            <w:rtl w:val="0"/>
          </w:rPr>
          <w:t xml:space="preserve">https://www.aliexpress.com/s/wiki-ssr/article/dhs-edge-tape</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Edge Tape for Table Tennis Bats - who needs it and which are best?, 访问时间为 四月 25, 2026， </w:t>
      </w:r>
      <w:hyperlink r:id="rId97">
        <w:r w:rsidDel="00000000" w:rsidR="00000000" w:rsidRPr="00000000">
          <w:rPr>
            <w:rFonts w:ascii="Arial" w:cs="Arial" w:eastAsia="Arial" w:hAnsi="Arial"/>
            <w:color w:val="0000ee"/>
            <w:sz w:val="24"/>
            <w:szCs w:val="24"/>
            <w:u w:val="single"/>
            <w:rtl w:val="0"/>
          </w:rPr>
          <w:t xml:space="preserve">https://tabletennisshop.com.au/blog/edge-tape-for-table-tennis-bats-who-needs-it-and-which-are-best/</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 X Table Tennis Racket Edge Tape DHS Ping Pong Bat Protective Side Tape Pro | eBay, 访问时间为 四月 25, 2026， </w:t>
      </w:r>
      <w:hyperlink r:id="rId98">
        <w:r w:rsidDel="00000000" w:rsidR="00000000" w:rsidRPr="00000000">
          <w:rPr>
            <w:rFonts w:ascii="Arial" w:cs="Arial" w:eastAsia="Arial" w:hAnsi="Arial"/>
            <w:color w:val="0000ee"/>
            <w:sz w:val="24"/>
            <w:szCs w:val="24"/>
            <w:u w:val="single"/>
            <w:rtl w:val="0"/>
          </w:rPr>
          <w:t xml:space="preserve">https://www.ebay.com/itm/274839601292</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 Guide for Manufacturers and Consumers on PVC Lead Restriction! - ComplianceXL, 访问时间为 四月 25, 2026， </w:t>
      </w:r>
      <w:hyperlink r:id="rId99">
        <w:r w:rsidDel="00000000" w:rsidR="00000000" w:rsidRPr="00000000">
          <w:rPr>
            <w:rFonts w:ascii="Arial" w:cs="Arial" w:eastAsia="Arial" w:hAnsi="Arial"/>
            <w:color w:val="0000ee"/>
            <w:sz w:val="24"/>
            <w:szCs w:val="24"/>
            <w:u w:val="single"/>
            <w:rtl w:val="0"/>
          </w:rPr>
          <w:t xml:space="preserve">https://www.compliancexl.com/guide-for-manufacturers-and-consumers-on-pvc-lead-restriction/</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EU: REACH Annex XVII restriction on lead in PVC was published | TÜV SÜD, 访问时间为 四月 25, 2026， </w:t>
      </w:r>
      <w:hyperlink r:id="rId100">
        <w:r w:rsidDel="00000000" w:rsidR="00000000" w:rsidRPr="00000000">
          <w:rPr>
            <w:rFonts w:ascii="Arial" w:cs="Arial" w:eastAsia="Arial" w:hAnsi="Arial"/>
            <w:color w:val="0000ee"/>
            <w:sz w:val="24"/>
            <w:szCs w:val="24"/>
            <w:u w:val="single"/>
            <w:rtl w:val="0"/>
          </w:rPr>
          <w:t xml:space="preserve">https://www.tuvsud.com/en-us/e-ssentials-newsletter/consumer-products-and-retail-essentials/e-ssentials-4-2023/eu-reach-annex-xvii-restriction-on-lead-in-pvc-was-published</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EU Restricts Lead in PVC Articles under REACH | SGS USA, 访问时间为 四月 25, 2026， </w:t>
      </w:r>
      <w:hyperlink r:id="rId101">
        <w:r w:rsidDel="00000000" w:rsidR="00000000" w:rsidRPr="00000000">
          <w:rPr>
            <w:rFonts w:ascii="Arial" w:cs="Arial" w:eastAsia="Arial" w:hAnsi="Arial"/>
            <w:color w:val="0000ee"/>
            <w:sz w:val="24"/>
            <w:szCs w:val="24"/>
            <w:u w:val="single"/>
            <w:rtl w:val="0"/>
          </w:rPr>
          <w:t xml:space="preserve">https://www.sgs.com/en-us/news/2023/05/safeguards-5523-eu-restricts-lead-in-pvc-articles-under-reach</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EU adds Requirements for Lead in PVC under REACH Regulation - Intertek, 访问时间为 四月 25, 2026， </w:t>
      </w:r>
      <w:hyperlink r:id="rId102">
        <w:r w:rsidDel="00000000" w:rsidR="00000000" w:rsidRPr="00000000">
          <w:rPr>
            <w:rFonts w:ascii="Arial" w:cs="Arial" w:eastAsia="Arial" w:hAnsi="Arial"/>
            <w:color w:val="0000ee"/>
            <w:sz w:val="24"/>
            <w:szCs w:val="24"/>
            <w:u w:val="single"/>
            <w:rtl w:val="0"/>
          </w:rPr>
          <w:t xml:space="preserve">https://www.intertek.com/products-retail/insight-bulletins/2023/eu-adds-requirements-for-lead-in-pvc-under-reach-regulation/</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EU Restricts Lead in PVC Articles under REACH - SGS, 访问时间为 四月 25, 2026， </w:t>
      </w:r>
      <w:hyperlink r:id="rId103">
        <w:r w:rsidDel="00000000" w:rsidR="00000000" w:rsidRPr="00000000">
          <w:rPr>
            <w:rFonts w:ascii="Arial" w:cs="Arial" w:eastAsia="Arial" w:hAnsi="Arial"/>
            <w:color w:val="0000ee"/>
            <w:sz w:val="24"/>
            <w:szCs w:val="24"/>
            <w:u w:val="single"/>
            <w:rtl w:val="0"/>
          </w:rPr>
          <w:t xml:space="preserve">https://www.sgs.com/en/news/2023/05/safeguards-5523-eu-restricts-lead-in-pvc-articles-under-reach</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Regulatory Framework - VinylPlus, 访问时间为 四月 25, 2026， </w:t>
      </w:r>
      <w:hyperlink r:id="rId104">
        <w:r w:rsidDel="00000000" w:rsidR="00000000" w:rsidRPr="00000000">
          <w:rPr>
            <w:rFonts w:ascii="Arial" w:cs="Arial" w:eastAsia="Arial" w:hAnsi="Arial"/>
            <w:color w:val="0000ee"/>
            <w:sz w:val="24"/>
            <w:szCs w:val="24"/>
            <w:u w:val="single"/>
            <w:rtl w:val="0"/>
          </w:rPr>
          <w:t xml:space="preserve">https://www.vinylplus.eu/circular-economy/regulatory-framework/</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Phthalates - ChemSafetyPro.COM, 访问时间为 四月 25, 2026， </w:t>
      </w:r>
      <w:hyperlink r:id="rId105">
        <w:r w:rsidDel="00000000" w:rsidR="00000000" w:rsidRPr="00000000">
          <w:rPr>
            <w:rFonts w:ascii="Arial" w:cs="Arial" w:eastAsia="Arial" w:hAnsi="Arial"/>
            <w:color w:val="0000ee"/>
            <w:sz w:val="24"/>
            <w:szCs w:val="24"/>
            <w:u w:val="single"/>
            <w:rtl w:val="0"/>
          </w:rPr>
          <w:t xml:space="preserve">https://www.chemsafetypro.com/Topics/EU/REACH_annex_XVII_phthalates_restriction.html</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EU Expands Restriction of Phthalates Under REACH | SGS USA, 访问时间为 四月 25, 2026， </w:t>
      </w:r>
      <w:hyperlink r:id="rId106">
        <w:r w:rsidDel="00000000" w:rsidR="00000000" w:rsidRPr="00000000">
          <w:rPr>
            <w:rFonts w:ascii="Arial" w:cs="Arial" w:eastAsia="Arial" w:hAnsi="Arial"/>
            <w:color w:val="0000ee"/>
            <w:sz w:val="24"/>
            <w:szCs w:val="24"/>
            <w:u w:val="single"/>
            <w:rtl w:val="0"/>
          </w:rPr>
          <w:t xml:space="preserve">https://www.sgs.com/en-us/news/2019/01/safeguards-00219-eu-expands-restriction-of-phthalates-under-reach</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Restrictions - Internal Market, Industry, Entrepreneurship and SMEs - European Union, 访问时间为 四月 25, 2026， </w:t>
      </w:r>
      <w:hyperlink r:id="rId107">
        <w:r w:rsidDel="00000000" w:rsidR="00000000" w:rsidRPr="00000000">
          <w:rPr>
            <w:rFonts w:ascii="Arial" w:cs="Arial" w:eastAsia="Arial" w:hAnsi="Arial"/>
            <w:color w:val="0000ee"/>
            <w:sz w:val="24"/>
            <w:szCs w:val="24"/>
            <w:u w:val="single"/>
            <w:rtl w:val="0"/>
          </w:rPr>
          <w:t xml:space="preserve">https://single-market-economy.ec.europa.eu/sectors/chemicals/reach/restrictions_en</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REACH Annex XVII Substances List: An Overview - Compliance Gate, 访问时间为 四月 25, 2026， </w:t>
      </w:r>
      <w:hyperlink r:id="rId108">
        <w:r w:rsidDel="00000000" w:rsidR="00000000" w:rsidRPr="00000000">
          <w:rPr>
            <w:rFonts w:ascii="Arial" w:cs="Arial" w:eastAsia="Arial" w:hAnsi="Arial"/>
            <w:color w:val="0000ee"/>
            <w:sz w:val="24"/>
            <w:szCs w:val="24"/>
            <w:u w:val="single"/>
            <w:rtl w:val="0"/>
          </w:rPr>
          <w:t xml:space="preserve">https://www.compliancegate.com/reach-annex-xvii-substances-list/</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ANNEX XVII TO REACH – Conditions of restriction - PVC Forum Italia, 访问时间为 四月 25, 2026， </w:t>
      </w:r>
      <w:hyperlink r:id="rId109">
        <w:r w:rsidDel="00000000" w:rsidR="00000000" w:rsidRPr="00000000">
          <w:rPr>
            <w:rFonts w:ascii="Arial" w:cs="Arial" w:eastAsia="Arial" w:hAnsi="Arial"/>
            <w:color w:val="0000ee"/>
            <w:sz w:val="24"/>
            <w:szCs w:val="24"/>
            <w:u w:val="single"/>
            <w:rtl w:val="0"/>
          </w:rPr>
          <w:t xml:space="preserve">https://www.pvcforum.it/wp-content/uploads/2020/07/Entry-51-restrizione-su-Ftalati-LMW.pdf</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Phthalate Restriction Amendment - REACH Annex XVII | TÜV SÜD, 访问时间为 四月 25, 2026， </w:t>
      </w:r>
      <w:hyperlink r:id="rId110">
        <w:r w:rsidDel="00000000" w:rsidR="00000000" w:rsidRPr="00000000">
          <w:rPr>
            <w:rFonts w:ascii="Arial" w:cs="Arial" w:eastAsia="Arial" w:hAnsi="Arial"/>
            <w:color w:val="0000ee"/>
            <w:sz w:val="24"/>
            <w:szCs w:val="24"/>
            <w:u w:val="single"/>
            <w:rtl w:val="0"/>
          </w:rPr>
          <w:t xml:space="preserve">https://www.tuvsud.com/en-us/e-ssentials-newsletter/consumer-products-and-retail-essentials/e-ssentials-23-2018/eu-reach-annex-xvii-amendment-of-phthalate-restriction-published</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European Standards for PVC Edgeband Imports: Compliance, Testing &amp; Distributor Guide, 访问时间为 四月 25, 2026， </w:t>
      </w:r>
      <w:hyperlink r:id="rId111">
        <w:r w:rsidDel="00000000" w:rsidR="00000000" w:rsidRPr="00000000">
          <w:rPr>
            <w:rFonts w:ascii="Arial" w:cs="Arial" w:eastAsia="Arial" w:hAnsi="Arial"/>
            <w:color w:val="0000ee"/>
            <w:sz w:val="24"/>
            <w:szCs w:val="24"/>
            <w:u w:val="single"/>
            <w:rtl w:val="0"/>
          </w:rPr>
          <w:t xml:space="preserve">https://edgebandct.com/how-european-furniture-standards-impact-pvc-edgeband-imports/</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STUDY OF HEAVY METALS IN CHILDREN`s TOY AND CAMPAIGN FOR SAFE PLAY IN NEPAL - Chemical Watch, 访问时间为 四月 25, 2026， </w:t>
      </w:r>
      <w:hyperlink r:id="rId112">
        <w:r w:rsidDel="00000000" w:rsidR="00000000" w:rsidRPr="00000000">
          <w:rPr>
            <w:rFonts w:ascii="Arial" w:cs="Arial" w:eastAsia="Arial" w:hAnsi="Arial"/>
            <w:color w:val="0000ee"/>
            <w:sz w:val="24"/>
            <w:szCs w:val="24"/>
            <w:u w:val="single"/>
            <w:rtl w:val="0"/>
          </w:rPr>
          <w:t xml:space="preserve">http://files.chemicalwatch.com/31420819801.pdf</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26/09/2011 GUIDANCE DOCUMENT No. 14 ON THE APPLICATION OF THE DIRECTIVE ON THE SAFETY OF TOYS Sports equipment ver - European Commission, 访问时间为 四月 25, 2026， </w:t>
      </w:r>
      <w:hyperlink r:id="rId113">
        <w:r w:rsidDel="00000000" w:rsidR="00000000" w:rsidRPr="00000000">
          <w:rPr>
            <w:rFonts w:ascii="Arial" w:cs="Arial" w:eastAsia="Arial" w:hAnsi="Arial"/>
            <w:color w:val="0000ee"/>
            <w:sz w:val="24"/>
            <w:szCs w:val="24"/>
            <w:u w:val="single"/>
            <w:rtl w:val="0"/>
          </w:rPr>
          <w:t xml:space="preserve">https://ec.europa.eu/docsroom/documents/5851/attachments/1/translations/en/renditions/native</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New EU toy guidance 11: how to classify toys for under three years of age or of three years and over | SGS, 访问时间为 四月 25, 2026， </w:t>
      </w:r>
      <w:hyperlink r:id="rId114">
        <w:r w:rsidDel="00000000" w:rsidR="00000000" w:rsidRPr="00000000">
          <w:rPr>
            <w:rFonts w:ascii="Arial" w:cs="Arial" w:eastAsia="Arial" w:hAnsi="Arial"/>
            <w:color w:val="0000ee"/>
            <w:sz w:val="24"/>
            <w:szCs w:val="24"/>
            <w:u w:val="single"/>
            <w:rtl w:val="0"/>
          </w:rPr>
          <w:t xml:space="preserve">https://www.sgs.com/en/news/2023/02/safeguards-1823-new-eu-toy-guidance-11-how-to-classify-toys-for-under-and-over-three-years-old</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Guidance - Internal Market, Industry, Entrepreneurship and SMEs - European Union, 访问时间为 四月 25, 2026， </w:t>
      </w:r>
      <w:hyperlink r:id="rId115">
        <w:r w:rsidDel="00000000" w:rsidR="00000000" w:rsidRPr="00000000">
          <w:rPr>
            <w:rFonts w:ascii="Arial" w:cs="Arial" w:eastAsia="Arial" w:hAnsi="Arial"/>
            <w:color w:val="0000ee"/>
            <w:sz w:val="24"/>
            <w:szCs w:val="24"/>
            <w:u w:val="single"/>
            <w:rtl w:val="0"/>
          </w:rPr>
          <w:t xml:space="preserve">https://single-market-economy.ec.europa.eu/sectors/toys/toy-safety/guidance_en</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EU General Product Safety Regulation (GPSR) - (EU) 2023/988 ..., 访问时间为 四月 25, 2026， </w:t>
      </w:r>
      <w:hyperlink r:id="rId116">
        <w:r w:rsidDel="00000000" w:rsidR="00000000" w:rsidRPr="00000000">
          <w:rPr>
            <w:rFonts w:ascii="Arial" w:cs="Arial" w:eastAsia="Arial" w:hAnsi="Arial"/>
            <w:color w:val="0000ee"/>
            <w:sz w:val="24"/>
            <w:szCs w:val="24"/>
            <w:u w:val="single"/>
            <w:rtl w:val="0"/>
          </w:rPr>
          <w:t xml:space="preserve">https://the-mia.com/news/688834/The-EU-General-Product-Safety-Regulation-GPSR---EU-2023988.htm</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Europe: General Product Safety Regulation (GPSR) EU/2023/988, Replacing the General Product Safety Directive (GPSD) | UL Solutions, 访问时间为 四月 25, 2026， </w:t>
      </w:r>
      <w:hyperlink r:id="rId117">
        <w:r w:rsidDel="00000000" w:rsidR="00000000" w:rsidRPr="00000000">
          <w:rPr>
            <w:rFonts w:ascii="Arial" w:cs="Arial" w:eastAsia="Arial" w:hAnsi="Arial"/>
            <w:color w:val="0000ee"/>
            <w:sz w:val="24"/>
            <w:szCs w:val="24"/>
            <w:u w:val="single"/>
            <w:rtl w:val="0"/>
          </w:rPr>
          <w:t xml:space="preserve">https://www.ul.com/resources/europe-general-product-safety-regulation-gpsr-eu2023988-replacing-general-product-safety</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Understanding the EU General Product Safety Regulation: Commonly Asked Questions | SGS USA, 访问时间为 四月 25, 2026， </w:t>
      </w:r>
      <w:hyperlink r:id="rId118">
        <w:r w:rsidDel="00000000" w:rsidR="00000000" w:rsidRPr="00000000">
          <w:rPr>
            <w:rFonts w:ascii="Arial" w:cs="Arial" w:eastAsia="Arial" w:hAnsi="Arial"/>
            <w:color w:val="0000ee"/>
            <w:sz w:val="24"/>
            <w:szCs w:val="24"/>
            <w:u w:val="single"/>
            <w:rtl w:val="0"/>
          </w:rPr>
          <w:t xml:space="preserve">https://www.sgs.com/en-us/news/2024/03/cc-q1-2024-understanding-the-eu-general-product-safety-regulation-commonly-asked-questions</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New REGULATION (EU) 2023/988 for consumer products - Eurofins, 访问时间为 四月 25, 2026， </w:t>
      </w:r>
      <w:hyperlink r:id="rId119">
        <w:r w:rsidDel="00000000" w:rsidR="00000000" w:rsidRPr="00000000">
          <w:rPr>
            <w:rFonts w:ascii="Arial" w:cs="Arial" w:eastAsia="Arial" w:hAnsi="Arial"/>
            <w:color w:val="0000ee"/>
            <w:sz w:val="24"/>
            <w:szCs w:val="24"/>
            <w:u w:val="single"/>
            <w:rtl w:val="0"/>
          </w:rPr>
          <w:t xml:space="preserve">https://www.eurofins.com/consumer-product-testing/media-centre/news/regulation-eu-2023988/</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EU Regulation on General Product Safety (2023/988) - GOV.UK, 访问时间为 四月 25, 2026， </w:t>
      </w:r>
      <w:hyperlink r:id="rId120">
        <w:r w:rsidDel="00000000" w:rsidR="00000000" w:rsidRPr="00000000">
          <w:rPr>
            <w:rFonts w:ascii="Arial" w:cs="Arial" w:eastAsia="Arial" w:hAnsi="Arial"/>
            <w:color w:val="0000ee"/>
            <w:sz w:val="24"/>
            <w:szCs w:val="24"/>
            <w:u w:val="single"/>
            <w:rtl w:val="0"/>
          </w:rPr>
          <w:t xml:space="preserve">https://www.gov.uk/government/publications/eu-regulation-2023988-on-general-product-safety/eu-regulation-on-general-product-safety-2023988</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EU Regulation 2023/988 on General Product Safety: detailed guidance - GOV.UK, 访问时间为 四月 25, 2026， </w:t>
      </w:r>
      <w:hyperlink r:id="rId121">
        <w:r w:rsidDel="00000000" w:rsidR="00000000" w:rsidRPr="00000000">
          <w:rPr>
            <w:rFonts w:ascii="Arial" w:cs="Arial" w:eastAsia="Arial" w:hAnsi="Arial"/>
            <w:color w:val="0000ee"/>
            <w:sz w:val="24"/>
            <w:szCs w:val="24"/>
            <w:u w:val="single"/>
            <w:rtl w:val="0"/>
          </w:rPr>
          <w:t xml:space="preserve">https://www.gov.uk/government/publications/general-product-safety-regulations-northern-ireland/eu-regulation-2023988-on-general-product-safety-detailed-guidance</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GPSR Labels on Packaging or Product – Labelling Requirements - Euverify, 访问时间为 四月 25, 2026， </w:t>
      </w:r>
      <w:hyperlink r:id="rId122">
        <w:r w:rsidDel="00000000" w:rsidR="00000000" w:rsidRPr="00000000">
          <w:rPr>
            <w:rFonts w:ascii="Arial" w:cs="Arial" w:eastAsia="Arial" w:hAnsi="Arial"/>
            <w:color w:val="0000ee"/>
            <w:sz w:val="24"/>
            <w:szCs w:val="24"/>
            <w:u w:val="single"/>
            <w:rtl w:val="0"/>
          </w:rPr>
          <w:t xml:space="preserve">https://euverify.com/resource/gpsr-labels-on-packaging-or-product/</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EU GPSR Labeling Requirements for EU Representatives | Testcoo, 访问时间为 四月 25, 2026， </w:t>
      </w:r>
      <w:hyperlink r:id="rId123">
        <w:r w:rsidDel="00000000" w:rsidR="00000000" w:rsidRPr="00000000">
          <w:rPr>
            <w:rFonts w:ascii="Arial" w:cs="Arial" w:eastAsia="Arial" w:hAnsi="Arial"/>
            <w:color w:val="0000ee"/>
            <w:sz w:val="24"/>
            <w:szCs w:val="24"/>
            <w:u w:val="single"/>
            <w:rtl w:val="0"/>
          </w:rPr>
          <w:t xml:space="preserve">https://www.testcoo.com/en/blog/eu-gpsr-representative-labeling-guide</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Product instructions under GPSR: what you need to know - Dentons, 访问时间为 四月 25, 2026， </w:t>
      </w:r>
      <w:hyperlink r:id="rId124">
        <w:r w:rsidDel="00000000" w:rsidR="00000000" w:rsidRPr="00000000">
          <w:rPr>
            <w:rFonts w:ascii="Arial" w:cs="Arial" w:eastAsia="Arial" w:hAnsi="Arial"/>
            <w:color w:val="0000ee"/>
            <w:sz w:val="24"/>
            <w:szCs w:val="24"/>
            <w:u w:val="single"/>
            <w:rtl w:val="0"/>
          </w:rPr>
          <w:t xml:space="preserve">https://www.dentons.com/ru/insights/articles/2025/october/3/product-instructions-under-gpsr-what-you-need-to-know</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New rules enter into force to ensure safer use of chemicals on EU market, 访问时间为 四月 25, 2026， </w:t>
      </w:r>
      <w:hyperlink r:id="rId125">
        <w:r w:rsidDel="00000000" w:rsidR="00000000" w:rsidRPr="00000000">
          <w:rPr>
            <w:rFonts w:ascii="Arial" w:cs="Arial" w:eastAsia="Arial" w:hAnsi="Arial"/>
            <w:color w:val="0000ee"/>
            <w:sz w:val="24"/>
            <w:szCs w:val="24"/>
            <w:u w:val="single"/>
            <w:rtl w:val="0"/>
          </w:rPr>
          <w:t xml:space="preserve">https://single-market-economy.ec.europa.eu/news/new-rules-enter-force-ensure-safer-use-chemicals-eu-market-2024-12-10_en</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Product regulatory updates: new EU rules on general product safety, labelling, and liability | Plesner, 访问时间为 四月 25, 2026， </w:t>
      </w:r>
      <w:hyperlink r:id="rId126">
        <w:r w:rsidDel="00000000" w:rsidR="00000000" w:rsidRPr="00000000">
          <w:rPr>
            <w:rFonts w:ascii="Arial" w:cs="Arial" w:eastAsia="Arial" w:hAnsi="Arial"/>
            <w:color w:val="0000ee"/>
            <w:sz w:val="24"/>
            <w:szCs w:val="24"/>
            <w:u w:val="single"/>
            <w:rtl w:val="0"/>
          </w:rPr>
          <w:t xml:space="preserve">https://plesner.com/en/news/product-regulatory-updates-new-eu-rules-general-product-safety-labelling-and-liability</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Labelling and packaging | Access2Markets - European Commission's trade, 访问时间为 四月 25, 2026， </w:t>
      </w:r>
      <w:hyperlink r:id="rId127">
        <w:r w:rsidDel="00000000" w:rsidR="00000000" w:rsidRPr="00000000">
          <w:rPr>
            <w:rFonts w:ascii="Arial" w:cs="Arial" w:eastAsia="Arial" w:hAnsi="Arial"/>
            <w:color w:val="0000ee"/>
            <w:sz w:val="24"/>
            <w:szCs w:val="24"/>
            <w:u w:val="single"/>
            <w:rtl w:val="0"/>
          </w:rPr>
          <w:t xml:space="preserve">https://trade.ec.europa.eu/access-to-markets/en/content/labelling-and-packaging</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Labelling requirements in France: the Triman logo and sorting instructions, 访问时间为 四月 25, 2026， </w:t>
      </w:r>
      <w:hyperlink r:id="rId128">
        <w:r w:rsidDel="00000000" w:rsidR="00000000" w:rsidRPr="00000000">
          <w:rPr>
            <w:rFonts w:ascii="Arial" w:cs="Arial" w:eastAsia="Arial" w:hAnsi="Arial"/>
            <w:color w:val="0000ee"/>
            <w:sz w:val="24"/>
            <w:szCs w:val="24"/>
            <w:u w:val="single"/>
            <w:rtl w:val="0"/>
          </w:rPr>
          <w:t xml:space="preserve">https://www.lizenzero.de/en/blog/labelling-requirements-in-france-the-triman-logo-and-sorting-instructions/</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TRIMAN user guide - Ecomaison, 访问时间为 四月 25, 2026， </w:t>
      </w:r>
      <w:hyperlink r:id="rId129">
        <w:r w:rsidDel="00000000" w:rsidR="00000000" w:rsidRPr="00000000">
          <w:rPr>
            <w:rFonts w:ascii="Arial" w:cs="Arial" w:eastAsia="Arial" w:hAnsi="Arial"/>
            <w:color w:val="0000ee"/>
            <w:sz w:val="24"/>
            <w:szCs w:val="24"/>
            <w:u w:val="single"/>
            <w:rtl w:val="0"/>
          </w:rPr>
          <w:t xml:space="preserve">https://ecomaison.com/wp-content/uploads/2023/09/Ecomaison_User-guide-TRIMAN_EN_Sept-2023.pdf</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Triman Logo: Obligations for e-commerce in France - ecosistant, 访问时间为 四月 25, 2026， </w:t>
      </w:r>
      <w:hyperlink r:id="rId130">
        <w:r w:rsidDel="00000000" w:rsidR="00000000" w:rsidRPr="00000000">
          <w:rPr>
            <w:rFonts w:ascii="Arial" w:cs="Arial" w:eastAsia="Arial" w:hAnsi="Arial"/>
            <w:color w:val="0000ee"/>
            <w:sz w:val="24"/>
            <w:szCs w:val="24"/>
            <w:u w:val="single"/>
            <w:rtl w:val="0"/>
          </w:rPr>
          <w:t xml:space="preserve">https://www.ecosistant.eu/en/triman-logo/</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TRIMAN Logo and Sorting Labeling Guide: Requirements for Packaging in France, 访问时间为 四月 25, 2026， </w:t>
      </w:r>
      <w:hyperlink r:id="rId131">
        <w:r w:rsidDel="00000000" w:rsidR="00000000" w:rsidRPr="00000000">
          <w:rPr>
            <w:rFonts w:ascii="Arial" w:cs="Arial" w:eastAsia="Arial" w:hAnsi="Arial"/>
            <w:color w:val="0000ee"/>
            <w:sz w:val="24"/>
            <w:szCs w:val="24"/>
            <w:u w:val="single"/>
            <w:rtl w:val="0"/>
          </w:rPr>
          <w:t xml:space="preserve">https://ecomundo.eu/en/blog/info-tri-triman-logo-guidelines</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Ask Our Experts: Top Frequently Asked Questions on Packaging - Compliance &amp; Risks, 访问时间为 四月 25, 2026， </w:t>
      </w:r>
      <w:hyperlink r:id="rId132">
        <w:r w:rsidDel="00000000" w:rsidR="00000000" w:rsidRPr="00000000">
          <w:rPr>
            <w:rFonts w:ascii="Arial" w:cs="Arial" w:eastAsia="Arial" w:hAnsi="Arial"/>
            <w:color w:val="0000ee"/>
            <w:sz w:val="24"/>
            <w:szCs w:val="24"/>
            <w:u w:val="single"/>
            <w:rtl w:val="0"/>
          </w:rPr>
          <w:t xml:space="preserve">https://www.complianceandrisks.com/blog/ask-our-experts-top-frequently-asked-questions-on-spain-packaging-and-packaging-waste/</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ISO 4892 &amp; Accelerated Aging: Testing the Durability of Adhesive Films - Solar Screen, 访问时间为 四月 25, 2026， </w:t>
      </w:r>
      <w:hyperlink r:id="rId133">
        <w:r w:rsidDel="00000000" w:rsidR="00000000" w:rsidRPr="00000000">
          <w:rPr>
            <w:rFonts w:ascii="Arial" w:cs="Arial" w:eastAsia="Arial" w:hAnsi="Arial"/>
            <w:color w:val="0000ee"/>
            <w:sz w:val="24"/>
            <w:szCs w:val="24"/>
            <w:u w:val="single"/>
            <w:rtl w:val="0"/>
          </w:rPr>
          <w:t xml:space="preserve">https://solarscreen.eu/en/blog/iso-4892-accelerated-aging-adhesive-film-durability/</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ISO 4892-1: Plastics — Methods of exposure to laboratory light sources - Q-Lab, 访问时间为 四月 25, 2026， </w:t>
      </w:r>
      <w:hyperlink r:id="rId134">
        <w:r w:rsidDel="00000000" w:rsidR="00000000" w:rsidRPr="00000000">
          <w:rPr>
            <w:rFonts w:ascii="Arial" w:cs="Arial" w:eastAsia="Arial" w:hAnsi="Arial"/>
            <w:color w:val="0000ee"/>
            <w:sz w:val="24"/>
            <w:szCs w:val="24"/>
            <w:u w:val="single"/>
            <w:rtl w:val="0"/>
          </w:rPr>
          <w:t xml:space="preserve">https://www.q-lab.com/weathering/weathering-test-standards/iso-4892-1</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Standards Development: ISO 4892-3 (2024) revised edition | Thermoline Scientific, 访问时间为 四月 25, 2026， </w:t>
      </w:r>
      <w:hyperlink r:id="rId135">
        <w:r w:rsidDel="00000000" w:rsidR="00000000" w:rsidRPr="00000000">
          <w:rPr>
            <w:rFonts w:ascii="Arial" w:cs="Arial" w:eastAsia="Arial" w:hAnsi="Arial"/>
            <w:color w:val="0000ee"/>
            <w:sz w:val="24"/>
            <w:szCs w:val="24"/>
            <w:u w:val="single"/>
            <w:rtl w:val="0"/>
          </w:rPr>
          <w:t xml:space="preserve">https://www.thermoline.com.au/blog/standards-development-iso-4892-3-2024-revised-edition</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Exposure procedure for artificial weathering - EOTA, 访问时间为 四月 25, 2026， </w:t>
      </w:r>
      <w:hyperlink r:id="rId136">
        <w:r w:rsidDel="00000000" w:rsidR="00000000" w:rsidRPr="00000000">
          <w:rPr>
            <w:rFonts w:ascii="Arial" w:cs="Arial" w:eastAsia="Arial" w:hAnsi="Arial"/>
            <w:color w:val="0000ee"/>
            <w:sz w:val="24"/>
            <w:szCs w:val="24"/>
            <w:u w:val="single"/>
            <w:rtl w:val="0"/>
          </w:rPr>
          <w:t xml:space="preserve">https://www.eota.eu/sites/default/files/uploads/Technical%20reports/tr010.pdf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SimSu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1.png"/><Relationship Id="rId41" Type="http://schemas.openxmlformats.org/officeDocument/2006/relationships/image" Target="media/image13.png"/><Relationship Id="rId44" Type="http://schemas.openxmlformats.org/officeDocument/2006/relationships/image" Target="media/image16.png"/><Relationship Id="rId43" Type="http://schemas.openxmlformats.org/officeDocument/2006/relationships/image" Target="media/image10.png"/><Relationship Id="rId46" Type="http://schemas.openxmlformats.org/officeDocument/2006/relationships/image" Target="media/image14.png"/><Relationship Id="rId45" Type="http://schemas.openxmlformats.org/officeDocument/2006/relationships/image" Target="media/image6.png"/><Relationship Id="rId107" Type="http://schemas.openxmlformats.org/officeDocument/2006/relationships/hyperlink" Target="https://single-market-economy.ec.europa.eu/sectors/chemicals/reach/restrictions_en" TargetMode="External"/><Relationship Id="rId106" Type="http://schemas.openxmlformats.org/officeDocument/2006/relationships/hyperlink" Target="https://www.sgs.com/en-us/news/2019/01/safeguards-00219-eu-expands-restriction-of-phthalates-under-reach" TargetMode="External"/><Relationship Id="rId105" Type="http://schemas.openxmlformats.org/officeDocument/2006/relationships/hyperlink" Target="https://www.chemsafetypro.com/Topics/EU/REACH_annex_XVII_phthalates_restriction.html" TargetMode="External"/><Relationship Id="rId104" Type="http://schemas.openxmlformats.org/officeDocument/2006/relationships/hyperlink" Target="https://www.vinylplus.eu/circular-economy/regulatory-framework/" TargetMode="External"/><Relationship Id="rId109" Type="http://schemas.openxmlformats.org/officeDocument/2006/relationships/hyperlink" Target="https://www.pvcforum.it/wp-content/uploads/2020/07/Entry-51-restrizione-su-Ftalati-LMW.pdf" TargetMode="External"/><Relationship Id="rId108" Type="http://schemas.openxmlformats.org/officeDocument/2006/relationships/hyperlink" Target="https://www.compliancegate.com/reach-annex-xvii-substances-list/" TargetMode="External"/><Relationship Id="rId48" Type="http://schemas.openxmlformats.org/officeDocument/2006/relationships/image" Target="media/image3.png"/><Relationship Id="rId47" Type="http://schemas.openxmlformats.org/officeDocument/2006/relationships/image" Target="media/image8.png"/><Relationship Id="rId49" Type="http://schemas.openxmlformats.org/officeDocument/2006/relationships/image" Target="media/image33.png"/><Relationship Id="rId103" Type="http://schemas.openxmlformats.org/officeDocument/2006/relationships/hyperlink" Target="https://www.sgs.com/en/news/2023/05/safeguards-5523-eu-restricts-lead-in-pvc-articles-under-reach" TargetMode="External"/><Relationship Id="rId102" Type="http://schemas.openxmlformats.org/officeDocument/2006/relationships/hyperlink" Target="https://www.intertek.com/products-retail/insight-bulletins/2023/eu-adds-requirements-for-lead-in-pvc-under-reach-regulation/" TargetMode="External"/><Relationship Id="rId101" Type="http://schemas.openxmlformats.org/officeDocument/2006/relationships/hyperlink" Target="https://www.sgs.com/en-us/news/2023/05/safeguards-5523-eu-restricts-lead-in-pvc-articles-under-reach" TargetMode="External"/><Relationship Id="rId100" Type="http://schemas.openxmlformats.org/officeDocument/2006/relationships/hyperlink" Target="https://www.tuvsud.com/en-us/e-ssentials-newsletter/consumer-products-and-retail-essentials/e-ssentials-4-2023/eu-reach-annex-xvii-restriction-on-lead-in-pvc-was-published" TargetMode="External"/><Relationship Id="rId31" Type="http://schemas.openxmlformats.org/officeDocument/2006/relationships/image" Target="media/image31.png"/><Relationship Id="rId30" Type="http://schemas.openxmlformats.org/officeDocument/2006/relationships/image" Target="media/image27.png"/><Relationship Id="rId33" Type="http://schemas.openxmlformats.org/officeDocument/2006/relationships/image" Target="media/image9.png"/><Relationship Id="rId32" Type="http://schemas.openxmlformats.org/officeDocument/2006/relationships/image" Target="media/image7.png"/><Relationship Id="rId35" Type="http://schemas.openxmlformats.org/officeDocument/2006/relationships/image" Target="media/image15.png"/><Relationship Id="rId34" Type="http://schemas.openxmlformats.org/officeDocument/2006/relationships/image" Target="media/image18.png"/><Relationship Id="rId37" Type="http://schemas.openxmlformats.org/officeDocument/2006/relationships/image" Target="media/image12.png"/><Relationship Id="rId36" Type="http://schemas.openxmlformats.org/officeDocument/2006/relationships/image" Target="media/image2.png"/><Relationship Id="rId39" Type="http://schemas.openxmlformats.org/officeDocument/2006/relationships/image" Target="media/image5.png"/><Relationship Id="rId38" Type="http://schemas.openxmlformats.org/officeDocument/2006/relationships/image" Target="media/image11.png"/><Relationship Id="rId20" Type="http://schemas.openxmlformats.org/officeDocument/2006/relationships/image" Target="media/image46.png"/><Relationship Id="rId22" Type="http://schemas.openxmlformats.org/officeDocument/2006/relationships/image" Target="media/image53.png"/><Relationship Id="rId21" Type="http://schemas.openxmlformats.org/officeDocument/2006/relationships/image" Target="media/image49.png"/><Relationship Id="rId24" Type="http://schemas.openxmlformats.org/officeDocument/2006/relationships/image" Target="media/image25.png"/><Relationship Id="rId23" Type="http://schemas.openxmlformats.org/officeDocument/2006/relationships/image" Target="media/image22.png"/><Relationship Id="rId129" Type="http://schemas.openxmlformats.org/officeDocument/2006/relationships/hyperlink" Target="https://ecomaison.com/wp-content/uploads/2023/09/Ecomaison_User-guide-TRIMAN_EN_Sept-2023.pdf" TargetMode="External"/><Relationship Id="rId128" Type="http://schemas.openxmlformats.org/officeDocument/2006/relationships/hyperlink" Target="https://www.lizenzero.de/en/blog/labelling-requirements-in-france-the-triman-logo-and-sorting-instructions/" TargetMode="External"/><Relationship Id="rId127" Type="http://schemas.openxmlformats.org/officeDocument/2006/relationships/hyperlink" Target="https://trade.ec.europa.eu/access-to-markets/en/content/labelling-and-packaging" TargetMode="External"/><Relationship Id="rId126" Type="http://schemas.openxmlformats.org/officeDocument/2006/relationships/hyperlink" Target="https://plesner.com/en/news/product-regulatory-updates-new-eu-rules-general-product-safety-labelling-and-liability" TargetMode="External"/><Relationship Id="rId26" Type="http://schemas.openxmlformats.org/officeDocument/2006/relationships/image" Target="media/image23.png"/><Relationship Id="rId121" Type="http://schemas.openxmlformats.org/officeDocument/2006/relationships/hyperlink" Target="https://www.gov.uk/government/publications/general-product-safety-regulations-northern-ireland/eu-regulation-2023988-on-general-product-safety-detailed-guidance" TargetMode="External"/><Relationship Id="rId25" Type="http://schemas.openxmlformats.org/officeDocument/2006/relationships/image" Target="media/image24.png"/><Relationship Id="rId120" Type="http://schemas.openxmlformats.org/officeDocument/2006/relationships/hyperlink" Target="https://www.gov.uk/government/publications/eu-regulation-2023988-on-general-product-safety/eu-regulation-on-general-product-safety-2023988" TargetMode="External"/><Relationship Id="rId28" Type="http://schemas.openxmlformats.org/officeDocument/2006/relationships/image" Target="media/image38.png"/><Relationship Id="rId27" Type="http://schemas.openxmlformats.org/officeDocument/2006/relationships/image" Target="media/image26.png"/><Relationship Id="rId125" Type="http://schemas.openxmlformats.org/officeDocument/2006/relationships/hyperlink" Target="https://single-market-economy.ec.europa.eu/news/new-rules-enter-force-ensure-safer-use-chemicals-eu-market-2024-12-10_en" TargetMode="External"/><Relationship Id="rId29" Type="http://schemas.openxmlformats.org/officeDocument/2006/relationships/image" Target="media/image36.png"/><Relationship Id="rId124" Type="http://schemas.openxmlformats.org/officeDocument/2006/relationships/hyperlink" Target="https://www.dentons.com/ru/insights/articles/2025/october/3/product-instructions-under-gpsr-what-you-need-to-know" TargetMode="External"/><Relationship Id="rId123" Type="http://schemas.openxmlformats.org/officeDocument/2006/relationships/hyperlink" Target="https://www.testcoo.com/en/blog/eu-gpsr-representative-labeling-guide" TargetMode="External"/><Relationship Id="rId122" Type="http://schemas.openxmlformats.org/officeDocument/2006/relationships/hyperlink" Target="https://euverify.com/resource/gpsr-labels-on-packaging-or-product/" TargetMode="External"/><Relationship Id="rId95" Type="http://schemas.openxmlformats.org/officeDocument/2006/relationships/hyperlink" Target="https://www.byk.com/en/service/regulatory-affairs/mit-classification-free-additives" TargetMode="External"/><Relationship Id="rId94" Type="http://schemas.openxmlformats.org/officeDocument/2006/relationships/hyperlink" Target="https://www.epy.it/new-rules-on-bit-and-mit-limits-labelling-and-corporate-responsibilities/?lang=en" TargetMode="External"/><Relationship Id="rId97" Type="http://schemas.openxmlformats.org/officeDocument/2006/relationships/hyperlink" Target="https://tabletennisshop.com.au/blog/edge-tape-for-table-tennis-bats-who-needs-it-and-which-are-best/" TargetMode="External"/><Relationship Id="rId96" Type="http://schemas.openxmlformats.org/officeDocument/2006/relationships/hyperlink" Target="https://www.aliexpress.com/s/wiki-ssr/article/dhs-edge-tape" TargetMode="External"/><Relationship Id="rId11" Type="http://schemas.openxmlformats.org/officeDocument/2006/relationships/image" Target="media/image35.png"/><Relationship Id="rId99" Type="http://schemas.openxmlformats.org/officeDocument/2006/relationships/hyperlink" Target="https://www.compliancexl.com/guide-for-manufacturers-and-consumers-on-pvc-lead-restriction/" TargetMode="External"/><Relationship Id="rId10" Type="http://schemas.openxmlformats.org/officeDocument/2006/relationships/image" Target="media/image40.png"/><Relationship Id="rId98" Type="http://schemas.openxmlformats.org/officeDocument/2006/relationships/hyperlink" Target="https://www.ebay.com/itm/274839601292" TargetMode="External"/><Relationship Id="rId13" Type="http://schemas.openxmlformats.org/officeDocument/2006/relationships/image" Target="media/image39.png"/><Relationship Id="rId12" Type="http://schemas.openxmlformats.org/officeDocument/2006/relationships/image" Target="media/image45.png"/><Relationship Id="rId91" Type="http://schemas.openxmlformats.org/officeDocument/2006/relationships/hyperlink" Target="http://www.nctta.org/2008-09/ITTFGlueBan.htm" TargetMode="External"/><Relationship Id="rId90" Type="http://schemas.openxmlformats.org/officeDocument/2006/relationships/hyperlink" Target="https://www.tabletennisdaily.com/forum/topics/glue.288/" TargetMode="External"/><Relationship Id="rId93" Type="http://schemas.openxmlformats.org/officeDocument/2006/relationships/hyperlink" Target="https://www.ashland.com/file_source/Ashland/Articles/PreservativesNewsletter.pdf" TargetMode="External"/><Relationship Id="rId92" Type="http://schemas.openxmlformats.org/officeDocument/2006/relationships/hyperlink" Target="https://www.aliexpress.com/s/wiki-ssr/article/ping-pong-paddle-glue" TargetMode="External"/><Relationship Id="rId118" Type="http://schemas.openxmlformats.org/officeDocument/2006/relationships/hyperlink" Target="https://www.sgs.com/en-us/news/2024/03/cc-q1-2024-understanding-the-eu-general-product-safety-regulation-commonly-asked-questions" TargetMode="External"/><Relationship Id="rId117" Type="http://schemas.openxmlformats.org/officeDocument/2006/relationships/hyperlink" Target="https://www.ul.com/resources/europe-general-product-safety-regulation-gpsr-eu2023988-replacing-general-product-safety" TargetMode="External"/><Relationship Id="rId116" Type="http://schemas.openxmlformats.org/officeDocument/2006/relationships/hyperlink" Target="https://the-mia.com/news/688834/The-EU-General-Product-Safety-Regulation-GPSR---EU-2023988.htm" TargetMode="External"/><Relationship Id="rId115" Type="http://schemas.openxmlformats.org/officeDocument/2006/relationships/hyperlink" Target="https://single-market-economy.ec.europa.eu/sectors/toys/toy-safety/guidance_en" TargetMode="External"/><Relationship Id="rId119" Type="http://schemas.openxmlformats.org/officeDocument/2006/relationships/hyperlink" Target="https://www.eurofins.com/consumer-product-testing/media-centre/news/regulation-eu-2023988/" TargetMode="External"/><Relationship Id="rId15" Type="http://schemas.openxmlformats.org/officeDocument/2006/relationships/image" Target="media/image51.png"/><Relationship Id="rId110" Type="http://schemas.openxmlformats.org/officeDocument/2006/relationships/hyperlink" Target="https://www.tuvsud.com/en-us/e-ssentials-newsletter/consumer-products-and-retail-essentials/e-ssentials-23-2018/eu-reach-annex-xvii-amendment-of-phthalate-restriction-published" TargetMode="External"/><Relationship Id="rId14" Type="http://schemas.openxmlformats.org/officeDocument/2006/relationships/image" Target="media/image19.png"/><Relationship Id="rId17" Type="http://schemas.openxmlformats.org/officeDocument/2006/relationships/image" Target="media/image17.png"/><Relationship Id="rId16" Type="http://schemas.openxmlformats.org/officeDocument/2006/relationships/image" Target="media/image44.png"/><Relationship Id="rId19" Type="http://schemas.openxmlformats.org/officeDocument/2006/relationships/image" Target="media/image43.png"/><Relationship Id="rId114" Type="http://schemas.openxmlformats.org/officeDocument/2006/relationships/hyperlink" Target="https://www.sgs.com/en/news/2023/02/safeguards-1823-new-eu-toy-guidance-11-how-to-classify-toys-for-under-and-over-three-years-old" TargetMode="External"/><Relationship Id="rId18" Type="http://schemas.openxmlformats.org/officeDocument/2006/relationships/image" Target="media/image37.png"/><Relationship Id="rId113" Type="http://schemas.openxmlformats.org/officeDocument/2006/relationships/hyperlink" Target="https://ec.europa.eu/docsroom/documents/5851/attachments/1/translations/en/renditions/native" TargetMode="External"/><Relationship Id="rId112" Type="http://schemas.openxmlformats.org/officeDocument/2006/relationships/hyperlink" Target="http://files.chemicalwatch.com/31420819801.pdf" TargetMode="External"/><Relationship Id="rId111" Type="http://schemas.openxmlformats.org/officeDocument/2006/relationships/hyperlink" Target="https://edgebandct.com/how-european-furniture-standards-impact-pvc-edgeband-imports/" TargetMode="External"/><Relationship Id="rId84" Type="http://schemas.openxmlformats.org/officeDocument/2006/relationships/hyperlink" Target="https://reachonline.eu/reach/en/annex-xvii.html" TargetMode="External"/><Relationship Id="rId83" Type="http://schemas.openxmlformats.org/officeDocument/2006/relationships/hyperlink" Target="https://www.reddit.com/r/tabletennis/comments/sgfk23/do_packaged_rubbers_degrade_over_time/" TargetMode="External"/><Relationship Id="rId86" Type="http://schemas.openxmlformats.org/officeDocument/2006/relationships/hyperlink" Target="https://measurlabs.com/products/polycyclic-aromatic-hydrocarbons-pahs-in-plastic-and-rubber-reach/" TargetMode="External"/><Relationship Id="rId85" Type="http://schemas.openxmlformats.org/officeDocument/2006/relationships/hyperlink" Target="https://www.tuvsud.com/en-us/e-ssentials-newsletter/consumer-products-and-retail-essentials/e-ssentials-8-2018/eu-reach---guideline-on-pah-restriction-in-consumer-products-published" TargetMode="External"/><Relationship Id="rId88" Type="http://schemas.openxmlformats.org/officeDocument/2006/relationships/hyperlink" Target="https://www.reddit.com/r/tabletennis/comments/1cbsilv/waterbased_glue_and_possible_blade_damage/" TargetMode="External"/><Relationship Id="rId87" Type="http://schemas.openxmlformats.org/officeDocument/2006/relationships/hyperlink" Target="https://www.sgs.com/en-us/news/2018/04/safeguards-05318-echa-publishes-guideline-for-pahs-under-reach" TargetMode="External"/><Relationship Id="rId89" Type="http://schemas.openxmlformats.org/officeDocument/2006/relationships/hyperlink" Target="https://www.reddit.com/r/tabletennis/comments/2zpzif/recently_switched_glues_the_difference_between/" TargetMode="External"/><Relationship Id="rId80" Type="http://schemas.openxmlformats.org/officeDocument/2006/relationships/hyperlink" Target="https://www.researchgate.net/publication/223614629_Thermal_ageing_studies_on_room-temperature_vulcanised_polysiloxane_rubbers" TargetMode="External"/><Relationship Id="rId82" Type="http://schemas.openxmlformats.org/officeDocument/2006/relationships/hyperlink" Target="https://patents.google.com/patent/US5910528A/en" TargetMode="External"/><Relationship Id="rId81" Type="http://schemas.openxmlformats.org/officeDocument/2006/relationships/hyperlink" Target="https://www.mdpi.com/1996-1944/17/22/56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42.png"/><Relationship Id="rId7" Type="http://schemas.openxmlformats.org/officeDocument/2006/relationships/image" Target="media/image28.png"/><Relationship Id="rId8" Type="http://schemas.openxmlformats.org/officeDocument/2006/relationships/image" Target="media/image20.png"/><Relationship Id="rId73" Type="http://schemas.openxmlformats.org/officeDocument/2006/relationships/hyperlink" Target="https://www.wki.fraunhofer.de/en/departments/qa/profile/news/certification-reach.html" TargetMode="External"/><Relationship Id="rId72" Type="http://schemas.openxmlformats.org/officeDocument/2006/relationships/hyperlink" Target="https://measurlabs.com/blog/formaldehyde-testing-and-regulations-in-the-eu/" TargetMode="External"/><Relationship Id="rId75" Type="http://schemas.openxmlformats.org/officeDocument/2006/relationships/hyperlink" Target="https://en.wikipedia.org/wiki/Table_tennis_rubber" TargetMode="External"/><Relationship Id="rId74" Type="http://schemas.openxmlformats.org/officeDocument/2006/relationships/hyperlink" Target="https://downloads.regulations.gov/EPA-HQ-OPPT-2008-0627-0144/attachment_27.pdf" TargetMode="External"/><Relationship Id="rId77" Type="http://schemas.openxmlformats.org/officeDocument/2006/relationships/hyperlink" Target="https://www.nishohi.com/cn/blog/post/table-tennis/ittf-jtta-approved-requirement" TargetMode="External"/><Relationship Id="rId76" Type="http://schemas.openxmlformats.org/officeDocument/2006/relationships/hyperlink" Target="https://worksoptabletennisleague.com/admin/resources/ittf-list-of-approved-rubbers.pdf" TargetMode="External"/><Relationship Id="rId79" Type="http://schemas.openxmlformats.org/officeDocument/2006/relationships/hyperlink" Target="https://pmc.ncbi.nlm.nih.gov/articles/PMC8269627/" TargetMode="External"/><Relationship Id="rId78" Type="http://schemas.openxmlformats.org/officeDocument/2006/relationships/hyperlink" Target="https://www.researchgate.net/publication/368468490_Study_on_the_aging_of_three_typical_rubber_materials_under_high-_and_low-temperature_cyclic_environment" TargetMode="External"/><Relationship Id="rId71" Type="http://schemas.openxmlformats.org/officeDocument/2006/relationships/hyperlink" Target="https://owic.oregonstate.edu/sites/default/files/pubs/Schwab.pdf" TargetMode="External"/><Relationship Id="rId70" Type="http://schemas.openxmlformats.org/officeDocument/2006/relationships/hyperlink" Target="https://fsc.org/sites/default/files/2019-04/FSC%20guidance%20update%2003-18%20English.pdf" TargetMode="External"/><Relationship Id="rId132" Type="http://schemas.openxmlformats.org/officeDocument/2006/relationships/hyperlink" Target="https://www.complianceandrisks.com/blog/ask-our-experts-top-frequently-asked-questions-on-spain-packaging-and-packaging-waste/" TargetMode="External"/><Relationship Id="rId131" Type="http://schemas.openxmlformats.org/officeDocument/2006/relationships/hyperlink" Target="https://ecomundo.eu/en/blog/info-tri-triman-logo-guidelines" TargetMode="External"/><Relationship Id="rId130" Type="http://schemas.openxmlformats.org/officeDocument/2006/relationships/hyperlink" Target="https://www.ecosistant.eu/en/triman-logo/" TargetMode="External"/><Relationship Id="rId136" Type="http://schemas.openxmlformats.org/officeDocument/2006/relationships/hyperlink" Target="https://www.eota.eu/sites/default/files/uploads/Technical%20reports/tr010.pdf" TargetMode="External"/><Relationship Id="rId135" Type="http://schemas.openxmlformats.org/officeDocument/2006/relationships/hyperlink" Target="https://www.thermoline.com.au/blog/standards-development-iso-4892-3-2024-revised-edition" TargetMode="External"/><Relationship Id="rId134" Type="http://schemas.openxmlformats.org/officeDocument/2006/relationships/hyperlink" Target="https://www.q-lab.com/weathering/weathering-test-standards/iso-4892-1" TargetMode="External"/><Relationship Id="rId133" Type="http://schemas.openxmlformats.org/officeDocument/2006/relationships/hyperlink" Target="https://solarscreen.eu/en/blog/iso-4892-accelerated-aging-adhesive-film-durability/" TargetMode="External"/><Relationship Id="rId62" Type="http://schemas.openxmlformats.org/officeDocument/2006/relationships/hyperlink" Target="https://documents.ittf.sport/sites/default/files/public/2022-02/ITTF_HB_2022_clean_v1_0.pdf" TargetMode="External"/><Relationship Id="rId61" Type="http://schemas.openxmlformats.org/officeDocument/2006/relationships/hyperlink" Target="https://www.reddit.com/r/tabletennis/comments/k6o52a/if_everything_needs_to_be_ittf_approved_are_you/" TargetMode="External"/><Relationship Id="rId64" Type="http://schemas.openxmlformats.org/officeDocument/2006/relationships/hyperlink" Target="https://sb860dd8300858e7d.jimcontent.com/download/version/1601241580/module/13935093124/name/T4_Racket_Coverings.pdf" TargetMode="External"/><Relationship Id="rId63" Type="http://schemas.openxmlformats.org/officeDocument/2006/relationships/hyperlink" Target="https://www.killerspin.com/blogs/tips/table-tennis-rules" TargetMode="External"/><Relationship Id="rId66" Type="http://schemas.openxmlformats.org/officeDocument/2006/relationships/hyperlink" Target="https://www.eeas.europa.eu/sites/default/files/eu_timber_regulation_guidance_en.pdf" TargetMode="External"/><Relationship Id="rId65" Type="http://schemas.openxmlformats.org/officeDocument/2006/relationships/hyperlink" Target="http://sr.bttv.de/fileadmin/bttv/media/SR/pdf/T4_Racket_Coverings_2007+.pdf" TargetMode="External"/><Relationship Id="rId68" Type="http://schemas.openxmlformats.org/officeDocument/2006/relationships/hyperlink" Target="https://www.proforest.net/en/files/eu-timber-regulation-briefing-note.pdf/view?set_language=en" TargetMode="External"/><Relationship Id="rId67" Type="http://schemas.openxmlformats.org/officeDocument/2006/relationships/hyperlink" Target="https://www.storaenso.com/-/media/documents/download-center/documents/sustainability/se_fact_sheet_eu_timber_regulation_may_2018_eng.pdf" TargetMode="External"/><Relationship Id="rId60" Type="http://schemas.openxmlformats.org/officeDocument/2006/relationships/hyperlink" Target="https://cdn.megaspin.net/rules/pdf/2025/ittf-rules-2.pdf" TargetMode="External"/><Relationship Id="rId69" Type="http://schemas.openxmlformats.org/officeDocument/2006/relationships/hyperlink" Target="https://forestpolicy.org/policy-law/eu-timber-regulation-eutr" TargetMode="External"/><Relationship Id="rId51" Type="http://schemas.openxmlformats.org/officeDocument/2006/relationships/image" Target="media/image41.png"/><Relationship Id="rId50" Type="http://schemas.openxmlformats.org/officeDocument/2006/relationships/image" Target="media/image29.png"/><Relationship Id="rId53" Type="http://schemas.openxmlformats.org/officeDocument/2006/relationships/image" Target="media/image47.png"/><Relationship Id="rId52" Type="http://schemas.openxmlformats.org/officeDocument/2006/relationships/image" Target="media/image34.png"/><Relationship Id="rId55" Type="http://schemas.openxmlformats.org/officeDocument/2006/relationships/image" Target="media/image50.png"/><Relationship Id="rId54" Type="http://schemas.openxmlformats.org/officeDocument/2006/relationships/image" Target="media/image48.png"/><Relationship Id="rId57" Type="http://schemas.openxmlformats.org/officeDocument/2006/relationships/image" Target="media/image30.png"/><Relationship Id="rId56" Type="http://schemas.openxmlformats.org/officeDocument/2006/relationships/image" Target="media/image52.png"/><Relationship Id="rId59" Type="http://schemas.openxmlformats.org/officeDocument/2006/relationships/hyperlink" Target="https://cornilleau-tabletennis.com.au/official-ittf-table-tennis-rules" TargetMode="External"/><Relationship Id="rId5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