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为了更直观地对比欧盟合规要求与违规风险，下表基于 2025-2027 年最新法规动态（如《新电池法》、USB-C 统一指令等）进行了拆解。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欧盟充电宝零部件合规成本与风险对标表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零部件名称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核心合规要求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对应法律/标准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合规成本 (单机增量)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违规罚款 (系统性分摊/上限)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销量回本临界点 (单品)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电芯 (Cell)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铅&lt;0.01%；通过 55°C 短路及过充测试；500 次循环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(EU) 2023/1542 / EN 62133-2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$2.00 - $3.00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€50,000 (德国电池法违规)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500 台 (基于合规溢价)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外壳 (Enclosure)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UL 94 V-0 阻燃；表面温度 ≤48°C (金属) 或 60°C (塑料)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 62368-1 / REACH (SVHC)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$1.35 - $2.70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€100,000 (严重产品安全事故)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350 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主板 (PCBA)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电气间隙 ≥0.53mm；强制 USB-C PD 协议；RoHS 10 项限量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(EU) 2022/2380 / RoHS 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$1.75 - $2.85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€7,500 起 (化学物质超标)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400 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结构件 (Structure)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2027 年起必须实现用户“普通工具”可拆卸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(EU) 2023/1542 Art. 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强制召回及禁止入关风险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200 台 (由于模具费增加)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标识与包装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 标志 ≥5mm；WEEE 垃圾桶 ≥7mm (含黑线)；QR 码数字标签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GPSR / WEEE 指令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$0.15 - $0.25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€10,000 (标识误导/缺失)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100 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环保准入 (EPR)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德国/法国 WEEE、电池、包装法注册及回收费预缴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生产者延伸责任 (EPR)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$0.30 - $0.50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封店、冻结资金、按日计罚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600 台 (分摊注册费)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核心指标深度解析：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合规成本 (单机增量)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实现全零件合规的 BOM 成本增加约为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$5.90 - $10.92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。其中最大的增项来自 A 级安全电芯和支持 PD 协议的电源管理芯片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行政成本（如测试费和 EPR 注册）在万台出货量规模下，单台分摊约为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$0.40 - $0.80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违法罚款 (分摊与上限)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行政处罚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：德国《产品安全法》(ProdSG) 对严重违规的最高罚款为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万欧元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；法国针对 REACH 违规的起步罚款为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7,500 欧元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且按日累积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市场封锁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：一旦被 RAPEX (快速警报系统) 通报，产品将面临全欧下架，平均单次批次损失（以 2,000 台计）约为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万美元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回本临界点 (Break-even Point)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裸奔利润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：单台利润仅约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$0.71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，且无法进入主流渠道，面临 35%-50% 的被查处概率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合规利润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：单台利润可达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$11.48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(由于品牌溢价和渠道准入)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回本逻辑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：虽然合规投入（测试+注册）前期需花费约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$5,000 - $8,000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，但因其单台利润是裸奔的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，通常在销售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500 - 800 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后即可覆盖所有初始合规成本。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：合规零件虽然增加了约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37%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的生产成本，但消除了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的平台封禁风险，并在主流市场获得了近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的零售价格涨幅，是实现长期商业回报的唯一路径 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