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2025-2026年中国企业全球化出海全景合规与法律政策规制研究报告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引言：全球监管重塑与出海合规的战略跃迁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2025至2026年的经济周期中，中国企业的全球化战略已从单纯的商品出口，深度演进为涵盖产能输出、资本并购、技术授权及数字服务出海的全链路全球化配置。伴随这一跃迁，全球范围内的法律与监管环境呈现出高度的碎片化、泛安全化以及域外管辖（Extraterritorial Jurisdiction）的常态化特征。各国在吸引外资、促进数字经济发展的同时，围绕数据主权、供应链韧性、地缘科技博弈、反垄断及绿色低碳转型，构筑起了密集的规则壁垒。</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出海企业而言，合规已不再是依附于业务的成本中心或事后补救措施，而是决定海外市场准入、商业模式重塑以及资产安全的核心驱动力。本报告基于全球多个司法管辖区的最新立法、执法动态及政策文件，对涵盖投资准入、贸易与出口管制、反垄断与竞争法、数据保护与网络安全、电商与内容监管、产品技术标准与认证、国际税收以及跨国劳动用工等八大关键领域的法律法规进行全景式深度剖析。通过揭示底层法理逻辑与演变趋势，本报告旨在为出海企业勾勒出一幅详尽的全球合规地图，助力其在复杂的地缘政治与监管周期中构建动态的合规韧性体系。</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投资准入与资本跨境流动的法律监管规制</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资本的跨境流动是企业实现深度出海的先导。当前，企业不仅面临着母国对于境外直接投资（ODI）的穿透式监管，更承受着东道国对外商直接投资（FDI）日益严苛的国家安全审查的双向挤压。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中国境外直接投资（ODI）监管框架与最新动向</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境内企业进行境外投资，需严格履行国家发展和改革委员会（发改委）、商务部以及国家外汇管理局的“三部委”备案或核准程序。至2025年，上市及非上市公司的出海监管已全面呈现出“宏观审核、合规审核与资金监管三位一体”的治理格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在发改委层面，项目的宏观审核采取分级管理：3亿美元以下的项目由省级发改委进行备案，3亿美元及以上的大型项目则必须报送国家发改委备案；若投资涉及敏感国家、地区或敏感行业，则一律实行核准制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。发改委的备案流程通常需要约7个工作日，企业必须提交详尽的可行性研究报告，其中需包含当地市场数据及未来3年的经营规划，且要极力避免使用“开拓市场”等模糊表述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。此外，亏损企业在申报时面临极高的门槛，若无法额外证明其净资产回报率能达到5%，其备案申请的驳回率高达80%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务部门则侧重于境外投资行为的合规性审核，并在3至5个工作日内在线上颁发《企业境外投资证书》。值得注意的是，企业提交的银行资信证明有效期必须完全覆盖申报期，若漏交《境外并购事项前期报告表》，并购类项目将被直接退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金出境与外汇登记环节，外汇管理局实施了极为严格的资金来源审查。当前的监管实践要求将资金来源追溯至2年前的原始资金流，企业需提前6个月规划利润分配路径，并确保资金完全从公司公户出境，严禁使用个人账户注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。为防范资本外逃与过度杠杆，监管机构引入了“母小子大”的联合穿透核查机制：当拟投资额超过母公司净资产的50%时，将触发多部门的严密审查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。此外，企业需履行年度经营情况报送义务，若发生增资等重大变更未在30日内重新备案，最高可面临200万元人民币的行政处罚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全球FDI安全审查机制的泛安全化与防御性扩张</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在东道国一端，以外资国家安全审查（FDI Screening）为代表的防御性政策正在全球范围内蔓延。各国愈发倾向于利用FDI审查作为保护本土关键技术、关键基础设施以及敏感数据的政策工具。</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司法管辖区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核心监管机构与法规机制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2024-2025年合规审查重点及趋势推演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美国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跨部门外资投资委员会（CFIUS）及美国财政部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CFIUS审查的联合自愿通知（Notices）数量有所下降，尤其是半导体与电子元件领域的投资锐减，反映出强烈的寒蝉效应。然而，合规现场检查与民事处罚数量激增。同时，美国财政部依据行政令推进了限制在华AI、量子计算与半导体领域投资的对外投资审查机制（Outbound Investment Security Program）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欧盟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欧盟委员会及各成员国FDI审查机构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欧盟FDI审查框架正在深化。凡涉及两用物项（如受Regulation (EU) 2021/821管辖的出口技术）、关键基础设施或能访问选民及非公开候选人数据的并购项目，极易触发审查，监管机构可随时行使“停钟”（Stop the clock）权力中止法定审查期，以获取更多信息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澳大利亚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外国投资审查委员会（FIRB）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实施了重大改革，采用更为严格的基于风险的审查方法。重点审查可能威胁国家安全的关键基础设施、关键矿产、关键技术以及靠近政府设施的投资。同时，为缓解国内矛盾，实施了针对外国购买已建住宅的临时禁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英国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《国家安全与投资法》（NSI）执行机构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英国NSI机制已成为全球最活跃的审查机制之一。2024年5月，英国发布指南，明确将某些特定的“境外投资”（Outbound investments）纳入国家安全与投资法的管辖范围，进一步延伸了审查触角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财务省及相关行业省厅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2025年2月，日本进一步修订了其外资投资审查系统，加强了对核心技术与供应链节点的控制，以配合全球盟友的半导体等技术封锁战略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贸易与出口管制、经济制裁及地缘政治博弈</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在全球产业链重构的过程中，出海企业的技术流动与供应链配置正遭遇前所未有的双向管制。贸易合规不再仅是报关手续的完备，而是涉及技术溯源、最终用途核查与物项管辖权判定的核心战略。</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中国《出口管制法》的深化与两用物项新规</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外部的科技围堵，中国通过密集立法构建了反制与保护并重的出口管制体系。2024年12月1日，中国《两用物项出口管制条例》正式生效，该条例整合了过去二十年的分散规定，并与2020年出台的《出口管制法》（ECL）深度咬合，实现了管制逻辑的现代化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条例的核心突破在于其“全面管辖”（Catch-all）条款的落地与域外效力（Extraterritoriality）的主张。对于未列入管制清单但可能威胁国家安全或被用于军事目的的物项，商务部（MOFCOM）有权进行拦截；若外国实体在境外使用特定中国原产技术制造产品，或产品中整合了中国原产的两用物项，亦可能受制于该条例的再出口管制限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。此外，条例设立了类似美国UVL的“关注名单”（Watchlist），拒绝配合最终用户核查的进口商将被纳入其中，失去申请通用许可的资格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。第三方服务商（如金融机构、货代、电商平台）被赋予了强制报告义务，违规者将面临最高50万元人民币的罚款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。同时，中国实体在未获商务部批准的情况下，严禁接受外国政府出口管制机构的现场检查或访问，否则将面临最高300万元人民币罚款或停业整顿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受控技术方面，中国对《中国禁止出口限制出口技术目录》进行了具有高度战略意图的调整。根据2025年7月的最新修订，目录删除了34项技术，但针对关键新能源材料进行了精准加码：在“限制出口”清单中，新增了多项锂离子电池制造相关技术（如电池正极材料及制备技术、锂提取技术），并在有色金属冶金技术中修改了关于提取金属镓的特定工艺参数（如离子交换树脂法）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。这一调整凸显了中国利用其在新能源与关键矿物供应链中的统治地位，作为地缘博弈筹码的战略考量。</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美国的供应链封锁机制与《通胀削减法案》（IRA）的排他性规制</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美国主要通过出口管制实体清单（Entity List）与产业补贴政策，试图在高端制造领域将中国企业边缘化。2024年内，美国工业和安全局（BIS）宣布了针对半导体相关技术和设备的新一轮管制，新增超140个实体，使全年被纳入实体清单的中国实体总数超250个，创下十年新高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。大量中国实体还因涉嫌向俄罗斯转移受控美国原产物资，被美国财政部海外资产控制办公室（OFAC）列入特别指定国民（SDN）名单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新能源汽车（NEV）出海领域，美国《通胀削减法案》（IRA）利用高达7500美元的消费者税收抵免杠杆，构筑了严密的隐形壁垒。IRA不仅规定了电池组件和关键矿物必须在北美或自由贸易伙伴国制造或提取的递增比例要求，更引入了致命的“受关注外国实体”（FEOC）排除条款。</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IRA清洁车辆税收抵免合规要求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2024年适用标准（获取7500美元抵免）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2025年适用标准（获取7500美元抵免）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电池组件（Battery Component）北美制造/组装最低比例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关键矿物（Critical Minerals）自贸区提取/加工最低比例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受关注外国实体（FEOC）限制：电池组件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不合规</w:t>
            </w:r>
            <w:r w:rsidDel="00000000" w:rsidR="00000000" w:rsidRPr="00000000">
              <w:rPr>
                <w:rFonts w:ascii="Google Sans" w:cs="Google Sans" w:eastAsia="Google Sans" w:hAnsi="Google Sans"/>
                <w:color w:val="1f1f1f"/>
                <w:shd w:fill="auto" w:val="clear"/>
                <w:rtl w:val="0"/>
              </w:rPr>
              <w:t xml:space="preserve">（若含FEOC制造的任何组件，则丧失资格）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不合规</w:t>
            </w:r>
            <w:r w:rsidDel="00000000" w:rsidR="00000000" w:rsidRPr="00000000">
              <w:rPr>
                <w:rFonts w:ascii="Google Sans" w:cs="Google Sans" w:eastAsia="Google Sans" w:hAnsi="Google Sans"/>
                <w:color w:val="1f1f1f"/>
                <w:shd w:fill="auto" w:val="clear"/>
                <w:rtl w:val="0"/>
              </w:rPr>
              <w:t xml:space="preserve">（持续受限）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受关注外国实体（FEOC）限制：关键矿物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仍可合规</w:t>
            </w:r>
            <w:r w:rsidDel="00000000" w:rsidR="00000000" w:rsidRPr="00000000">
              <w:rPr>
                <w:rFonts w:ascii="Google Sans" w:cs="Google Sans" w:eastAsia="Google Sans" w:hAnsi="Google Sans"/>
                <w:color w:val="1f1f1f"/>
                <w:shd w:fill="auto" w:val="clear"/>
                <w:rtl w:val="0"/>
              </w:rPr>
              <w:t xml:space="preserve">（2024年尚未生效）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不合规</w:t>
            </w:r>
            <w:r w:rsidDel="00000000" w:rsidR="00000000" w:rsidRPr="00000000">
              <w:rPr>
                <w:rFonts w:ascii="Google Sans" w:cs="Google Sans" w:eastAsia="Google Sans" w:hAnsi="Google Sans"/>
                <w:color w:val="1f1f1f"/>
                <w:shd w:fill="auto" w:val="clear"/>
                <w:rtl w:val="0"/>
              </w:rPr>
              <w:t xml:space="preserve">（若含FEOC提取、加工或回收的任何矿物，则丧失资格）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自2025年起，随着关键矿物FEOC限制的全面生效，任何包含中国企业直接提取、加工或回收矿物的电池，将彻底被排除在税收补贴之外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。这一法规迫使意图拓展北美的中国动力电池及车企，必须进行深度的供应链重组，或通过复杂的技术授权协议（如将知识产权授权给北美本土企业）来寻求生存空间。</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反垄断、竞争法与公平市场规制</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随着中国出海企业体量的不断庞大，跨国并购与海外市场份额的扩张不可避免地触发了东道国的反垄断与竞争法审查。全球反垄断执法正呈现出趋严、覆盖面扩大的态势。</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东南亚反垄断执法的觉醒与协同</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东南亚国家联盟（ASEAN）已全面建立起竞争政策与法律（CPL）框架。尽管区域内缺乏超国家的反垄断实体，但《东盟竞争框架协议》的谈判正促进各成员国在跨国界反垄断审查上的协同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在印度尼西亚，《关于禁止垄断实践和不公平商业竞争的第5号法律》（Law No. 5/1999）是反垄断的核心。该法明确禁止企业订立旨在控制价格或操纵供应链的卡特尔协议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。商业竞争监督委员会（KPPU）有权实施广泛的监管。值得注意的是，通过《创造就业法》（Omnibus Law）的修订，印尼反垄断法中的刑事制裁在很大程度上被移除，转而主要依赖严厉的行政罚款及损害赔偿命令，这在一定程度上降低了高管直接面临刑事监禁的风险，但大幅提高了企业的经济违规成本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越南于2018年颁布了新的《竞争法》，标志着其反垄断监管技术与理念的重大转变。新法引入了实质性评估标准，重点打击滥用市场支配地位与非法经济集中，这对近年来密集进入越南市场进行跨境并购（M&amp;A）的国际投资者提出了更高的尽职调查要求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中国反垄断执法的周期性回归与市场集中度门槛</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在中国本土，市场监管总局（SAMR）的并购控制与反垄断执法在经历了一段低谷后，于2025年迎来了强势回归。仅在2025年下半年，SAMR便密集做出了多项附条件批准决定（涉及Bunge/Viterra、ANA/Nippon Cargo、Synopsys/Ansys、Keysight/Spirent等交易），甚至对Wuhan Yongtong/Shandong Huatai Pharma案做出了直接禁止的决定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横向经营者集中时，中国监管机构确立了明确的市场份额推定标准。根据评估框架，合并后实体若在相关市场的合计份额超过50%，将直接面临“具有反竞争效果”的推定；份额在25%至50%之间，被认为“可能具有反竞争效果”；而低于15%（或25%）则通常落入安全港，推定无反竞争效果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合并后相关市场合计份额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反垄断初步评估结论与影响推定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超过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推定具有反竞争效果（Presumption of anti-competitive effects）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至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很可能具有反竞争效果（Likely to have anti-competitive effects）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至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不太可能具有反竞争效果（Unlikely to have anti-competitive effects）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低于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避风港：推定无反竞争效果（Safe harbour）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美国反垄断执法的强硬转向</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美国，司法部（DOJ）与联邦贸易委员会（FTC）针对科技巨头与劳动力市场的反垄断执法正达到前所未有的烈度。2024至2026年间，针对Google搜索垄断案的裁决认定其构成了反竞争行为，并引发了巨额的消费者索赔诉讼；针对Live Nation (Ticketmaster) 垄断现场演唱会票务市场的诉讼进一步彰显了执法决心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。尽管Meta在涉及收购Instagram和WhatsApp的反垄断案中暂时胜诉，但美国司法部首次颁发的100万美元反垄断举报人奖励，标志着内部吹哨人机制在反垄断领域的全面激活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。此外，Lyft支付的1940万美元和解金表明，将平台工人错误分类以规避劳工保护和维持不公平竞争优势的做法，正面临严厉打击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数据主权、隐私保护与网络安全</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数字经济时代，数据已成为超越物理边界的国家级战略资源。数据本地化（Data Localization）与跨境传输限制构成了跨国SaaS服务、智能硬件、泛娱乐及汽车出海企业合规成本最高的领域。</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东南亚：数据本地化与合规标准的分化</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东南亚的数据监管深受欧盟GDPR影响，但同时具有强烈的国家安全与数字主权诉求，各国合规步伐差异显著。</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在印度尼西亚，根据《第71号政府条例》（GR 71）与个人数据保护法（PDP Law），政府对公共部门及某些敏感金融领域实施了严格的数据本地化强制要求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。私人电子系统运营商（ESOs）在面向印尼用户提供服务前，必须向印尼通信和信息技术部（MCIT）注册。然而，该注册系统极度偏向本土实体，对外资构成了实质性壁垒。更具挑战性的是，GR 71要求私人ESOs必须为印尼监管及执法机构提供电子系统与数据的访问权限，这被业界视为要求企业预留“后门”，严重冲突了跨国企业的全球统一安全架构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。此外，跨境数据传输必须取得数据主体的印尼语明确书面同意，并向MCIT报告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越南通过2018年《网络安全法》、2022年《第53号法令》（Decree 53）构建了刚性的本地化要求。Decree 53强制要求提供电信、互联网或网络增值服务的企业，必须将越南用户的日志、账户信息及金融数据等存储于越南境内的服务器上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。这对于依赖全球分布式SaaS架构的数字资产平台、跨境电商企业而言，导致了严重的合规冲突。2023年7月生效的《第13号个人数据保护法令》（Decree 13）更明确了其域外效力，适用于在境外处理越南公民数据的企业。法令赋予了数据主体撤回同意、反对处理等11项权利，并规定企业必须在接到请求后的72小时内完成处理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。企业还需指定数据保护官（DPO），而最新的《个人数据保护法》草案（PDP Law）计划取消大量中小型企业的DPO任命豁免期，并大幅提高违规处罚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加坡与马来西亚则代表了更为商业友好的监管路线。新加坡2024年修订的《个人数据保护法》（PDPA）进一步完善了合规体系，引入了针对数据处理者的强制义务（2025年4月生效）、数据违规强制通知（2025年6月生效），并确立了“合法利益”作为数据处理的合法性基础之一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。马来西亚于2025年4月发布的新跨境数据传输指南明确，只有在目的国具有与马来西亚同等水平的法律保护时，才允许数据出境，同时《数据共享法》的生效规范了公共机构间的数据流转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。泰国则在2024年底开出了PDPA生效后的首张罚单，并针对保险业等细分领域发布了更为严格的客户数据保护准则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中东：从数字主权到“云优先”战略</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中东地区（尤其是沙特阿拉伯与阿联酋）的数字化转型带有极强的政府主导特征，其数据立法旨在保障数字基础设施的安全可控。</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沙特阿拉伯的《个人数据保护法》（PDPL）涵盖了所有处理沙特公民数据的境内外组织，要求在收集数据前必须获取清晰的同意，并建立灵敏的数据泄露通知机制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。与之相协同的是沙特的“云优先政策”（Cloud First Policy），该政策强制要求所有政府云及商业政府云内的数据必须在地理上完全位于沙特境内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。这一数据驻留（Data Residency）的强监管要求，重塑了SaaS行业的竞争格局。数据显示，至2024年，已有超70%的SaaS应用依托沙特本土数据中心运行，迫使出海企业必须在当地部署物理基础设施或与本土云服务商结盟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。阿联酋的《联邦数据保护法》同样确立了综合性的个人隐私保护框架，对敏感数据的跨境流动实施严格限制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汽车网络安全：智能网联车出海的核心壁垒</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对于出海的中国新能源车企（NEV），数据安全已直接挂钩产品准入认证。联合国欧洲经济委员会（UNECE）发布的WP.29网络安全法规体系——UN R155（网络安全管理体系，CSMS）与UN R156（软件升级管理体系，SUMS）已成为全球汽车合规的硬通货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自2024年7月起，欧盟要求所有新注册及在售车辆必须符合CSMS与SUMS认证，日本、韩国和英国紧随其后。至2027年及2029年，合规范围还将分别扩展至新型和现存的摩托车与电动自行车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这一法规体系要求OEM（主机厂）建立覆盖全生命周期、全供应链的溯源与监控能力。主机厂不仅要提供自身的威胁分析与风险评估（TARA）、渗透测试报告，还必须向下穿透，收集并验证所有层级供应商的合规证据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。在车辆生命周期内，任何涉及核心架构的软件更新（OTA），若改变了安全要素，均需重新进行型式认证（WVTA）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。同时，中国出台的GB 44495:2024标准在UN R155的基础上增加了额外的技术验证要求，导致中国车企面临“双轨制”的复杂合规压力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针对未成年人的定向数字隐私保护</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针对App与内容平台出海，未成年人保护已从单纯的政策倡导上升为产品设计准则。美国联邦层面长期实施《儿童在线隐私保护法》（COPPA），规范13岁以下儿童数据的收集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。然而，加州于2024年生效的《适龄设计规范法案》（ADCA）极大地提升了标准门槛。ADCA不仅规制目标用户为儿童的应用，更宽泛地适用于“可能被儿童访问”的任何在线服务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。法案要求平台在产品设计之初就必须默认采用“最高级别的隐私设置”，并强制要求对算法、数据收集或定向广告系统进行潜在的“儿童危害评估”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。尽管目前该法案正面临来自科技行业的违宪诉讼与禁令挑战，但将“保护儿童最大利益”前置于产品开发的合规逻辑，已成为不可逆的全球趋势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跨境电商、数字平台监管与内容合规</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随着中国跨境电商平台（如SHEIN、Temu、TikTok Shop）及泛娱乐内容应用在全球的强势崛起，东道国利用反垄断工具、消费者权益保护法以及文化审查机制，对数字平台进行了全方位的规制。</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欧盟的《数字市场法》（DMA）与《数字服务法》（DSA）双轨制</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欧盟试图通过DMA与DSA重塑全球数字经济的竞争秩序与内容治理生态。</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字市场法》（DMA）针对具有“看门人”（Gatekeeper）地位的数字巨头（包含Alphabet、Amazon、Apple、ByteDance、Meta、Microsoft等）实施了严厉的“事前监管”。法规禁止看门人在同一公司所属的不同服务之间（如Facebook与WhatsApp之间）未经同意交叉合并用户数据，禁止在平台上对自有产品进行“自我优待”（Self-preferencing），并要求保障商业用户的权利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。违规者将面临高达全球年营业额20%的毁灭性罚款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字服务法》（DSA）则涵盖了所有在欧盟运营的在线服务，依据“责任与规模相匹配”的比例原则，强制要求平台建立清晰、易用的机制，供用户举报非法内容与假冒伪劣商品，并对推荐算法的透明度提出了极高要求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。2025年，法国国家信息自由委员会（CNIL）因Cookie违规处理对SHEIN处以1.5亿欧元罚款，进一步彰显了欧盟在隐私与电商交汇领域的执法烈度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电子商务与消费者保护的全球性强化</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在微观交易环节，欺诈、虚假宣传与假冒产品是监管打击的核心。</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欧盟层面，《Omnibus指令》（也称新消费者政纲）针对电商乱象进行了精准修补。指令强制要求商家在进行打折促销时，必须明码标示过去30天内的最低价格，从源头上遏制了“先提价后打折”的虚假营销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。此外，指令引入了对消费者评论的强制验证机制：平台及商家必须披露其验证评论来源于真实购买者的方法，宣称未经核实的评论为真实评论将被定性为“不公平商业行为”而受到严厉处罚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。在个性化定价方面，商家若基于消费者特征进行算法杀熟，也必须向消费者明确披露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美国于2023年生效的《INFORM消费者法案》（INFORM Consumers Act）则将火力对准了平台责任。法案要求在线交易平台必须收集、核实并披露“高销量第三方卖家”的真实身份信息（包括银行账户、税务ID及有效联系方式），旨在切断假冒伪劣产品与被盗物品的在线销赃渠道。未能履行该义务的平台，将面临每次违规高达53,088美元的民事罚款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在亚洲，巴基斯坦牵头制定的电子商务政策（Policy 2.0）及东盟关于电商消费者保护的指导原则（AAEC），均强调需赋予数字消费者明确的退款、退货及纠纷解决权利，并强化平台在打击误导性广告方面的连带责任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。越南新起草的电子商务法引入了五大政策支柱，强制要求电商平台验证卖家身份、审查发布内容并协助相关机构进行调查，平台须对违法商品承担连带赔偿责任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。土耳其则于2024年底大幅修改了消费者保护法，大幅提升了对违规广告的制裁力度并调整了电商牌照费用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中东地区的内容审查与文化准入标准</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中东地区对内容出海及社交媒体平台的监管，具有极其强烈的本地宗教与文化道德色彩。</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沙特阿拉伯媒体监管总局（GAMR）在2024-2025年期间发布了极其详尽的内容创作者合规指南。指南明确禁止以下行为：使用不当或冒犯性语言、以炫耀方式展示财富或奢侈品、未获同意发布儿童或家政工人的影像、曝光私人家庭纠纷、发布衣着暴露或不当的肢体接触内容，以及煽动部落或教派分裂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。官方强调，与社会价值观相悖的违规行为将面临严厉处罚，公众的抵制将是最有力的惩戒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。在监管实操中，热门游戏平台Roblox因违规内容被GAMR约谈，平台被迫移除了语音和文本聊天功能，并在部署更强的数字监控工具前，屏蔽了超30万款不合规游戏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阿联酋同样实施了严格的内容审查机制。根据2023年第55号《媒体监管联邦法令》（Federal Decree-Law No. 55 of 2023）与第34号打击网络谣言和网络犯罪法令，无论是视听内容、印刷品还是数字媒体平台，只要在阿联酋运营，其生产、传播的内容就必须符合阿联酋的宗教与伦理价值。这要求出海平台必须在算法分发之外，组建深度理解本地文化的“信任与安全”（Trust &amp; Safety）人工审核团队，防范合规风险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应用程序开发的知识产权归属与合规</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在中东等地从事本地化App开发的服务商或出海企业，知识产权（IP）的归属是一大合规盲区。根据中东多国的法律实践，员工在职务范围内的开发成果，必须在雇佣合同中明确约定IP归属雇主，不能简单套用其他法域的默认规则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。若外包给第三方开发，若是“白标”（White label）定制产品，出海企业通常只获得使用许可；但若是从零开始的“定制开发”（Bespoke app），出海企业必须在合同中明确获取全部IP权利，并要求开发商对使用的第三方代码提供不侵权保证（Warranties）及全额赔偿（Indemnities），以防范后续的侵权诉讼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 产品强制认证、ESG倒逼与技术标准壁垒</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对于实体硬件制造、消费电子及新能源汽车出海企业而言，符合当地的技术标准与安全认证是跨越海关的第一道门槛。同时，环保（ESG）法规正迅速成为门槛更高、穿透力更强的第二道隐形壁垒。</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中东双轨制认证：海湾G-Mark与沙特Saber体系</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湾合作委员会（GCC）国家针对特定高风险产品实施统一的G-Mark认证体系，该体系旨在保障产品符合健康、安全及环境标准。目前，G-Mark强制适用于所有面向14岁以下儿童的玩具（管控机械、物理、阻燃与化学安全）以及低压电气设备（LVE，工作电压在50-1000 V AC或75-1500 V DC之间）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。受管辖的具体产品涵盖电风扇、冰箱、洗衣机、微波炉、空调、电熨斗、插头插座等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。所有合规产品必须在本体或包装上张贴包含G-Mark标志及专属追踪二维码（GCTS）的标签，方可在沙特、阿联酋等七国免于重复测试自由流通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沙特单国市场，SASO（沙特标准、计量和质量局）主导的Saber电子认证系统执行着极度精细的商品准入管理。无论是受规管产品还是非受规管产品，进口商均须在Saber系统中注册。受规管产品必须通过SASO认可的第三方机构（如SGS、TUV等）的合格评定，依次取得产品符合性证书（PCoC）及装运符合性证书（SCoC） </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2025年，Saber系统实施了重大的规则升级。自1月起，全面废除以“承诺函”（Letters of Undertaking）作为临时清关凭证的做法，任何在货物抵达后才补办证书的行为均被视为违规，面临退运风险 </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。Saber系统还实现了与沙特海关（ZATCA）系统的全自动化同步，并对部分高风险品类试点了基于区块链的防伪测试报告 </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。同年7月，SASO大幅扩张了Saber管控的HS编码范围，涵盖了带蓝牙/Wi-Fi功能的智能眼镜（HS 851762900008）、智能家居控制器、计算机鼠标及键盘、环保包装材料以及大量建筑石材等 </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。企业不仅要应对严苛的实验室测试，还需极力防范HS编码归类错误导致的自动化拒收，以及因产品图片模糊、缺乏阿拉伯语标签而产生的清关延误 </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东南亚的强制性国家技术标准</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在东南亚，技术标准往往与保护本土制造业的政策意图相交织。</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印度尼西亚全面推行SNI（Indonesian National Standard）国家标准认证。2025年6月起，印尼工业部第75/2024号法规对音视频及类似电子设备实施了强制性SNI认证，适用范围包括55英寸以下的LCD/CRT电视、机顶盒、独立DVD/蓝光播放器以及有源音箱等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。为满足标准（如SNI IEC 62368-1:2014），获取常规的Type 5全方位认证（有效期5年），企业不仅产品必须通过指定的印尼实验室测试，其制造工厂还必须全面实施ISO 9001或IATF 16949质量管理体系，并接受定期的现场审核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。仅针对资本小于50亿印尼盾的小微企业或针对特定批次，才允许进行简化的Type 1批次认证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越南则推行TCVN国家标准及CR安全标志认证体系。根据越南质量测量标准总局（TCVN）的规定，13类家用电器及电子产品必须通过第三方的安全与电磁兼容（EMC）评估，获取符合性证书（CoC）后方可贴付CR标志 </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。此外，根据交通运输部的第41/2018号通知，涵盖了多达194种可能造成不安全风险的产品 </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。对于家用电器（如储水式热水器、微波炉、便携式烤箱、电风扇、电手钻、蒸发式冷风机等），均有明确对应的TCVN安全测试标准（对标IEC 60335系列等）进行严格的准入限制 </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欧盟新电池法规与ESG全生命周期合规倒逼</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欧盟于2023年7月颁布、随后分阶段全面生效的新《电池法规》（Regulation (EU) 2023/1542），彻底重塑了全球电池及新能源汽车产业链的合规逻辑与数据基础 </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该法规引入了“全生命周期”（Life Cycle）的环境影响考量，适用范围涵盖便携式电池、电动汽车（EV）电池、轻型交通工具（LMT）电池及工业电池等所有类别 </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。合规时间表极为紧凑：至2024年8月起，固定电池储能系统、容量大于2 kWh的工业电池及电动汽车电池，必须满足法定的性能、耐用性与安全要求，并强制通过符合性评估程序张贴CE标志 </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法规最具杀伤力的创新在于对供应链碳排放的精准追溯。所有EV电池、LMT电池及高容量工业电池必须提供清晰的碳足迹声明和标签，并强制披露电池生产中使用的钴、铅、锂和镍的“回收成分比例” </w:t>
      </w:r>
      <w:r w:rsidDel="00000000" w:rsidR="00000000" w:rsidRPr="00000000">
        <w:rPr>
          <w:rFonts w:ascii="Google Sans" w:cs="Google Sans" w:eastAsia="Google Sans" w:hAnsi="Google Sans"/>
          <w:color w:val="444746"/>
          <w:sz w:val="24"/>
          <w:szCs w:val="24"/>
          <w:vertAlign w:val="superscript"/>
          <w:rtl w:val="0"/>
        </w:rPr>
        <w:t xml:space="preserve">93</w:t>
      </w:r>
      <w:r w:rsidDel="00000000" w:rsidR="00000000" w:rsidRPr="00000000">
        <w:rPr>
          <w:rFonts w:ascii="Google Sans" w:cs="Google Sans" w:eastAsia="Google Sans" w:hAnsi="Google Sans"/>
          <w:color w:val="1f1f1f"/>
          <w:rtl w:val="0"/>
        </w:rPr>
        <w:t xml:space="preserve">。2027年起，强制引入基于区块链架构的“数字电池护照”（Digital Battery Passport），该护照将绑定每一块出厂电池，详细记录其物理容量、化学成分、来源追溯、健康状态及回收标识等核心信息 </w:t>
      </w:r>
      <w:r w:rsidDel="00000000" w:rsidR="00000000" w:rsidRPr="00000000">
        <w:rPr>
          <w:rFonts w:ascii="Google Sans" w:cs="Google Sans" w:eastAsia="Google Sans" w:hAnsi="Google Sans"/>
          <w:color w:val="444746"/>
          <w:sz w:val="24"/>
          <w:szCs w:val="24"/>
          <w:vertAlign w:val="superscript"/>
          <w:rtl w:val="0"/>
        </w:rPr>
        <w:t xml:space="preserve">92</w:t>
      </w:r>
      <w:r w:rsidDel="00000000" w:rsidR="00000000" w:rsidRPr="00000000">
        <w:rPr>
          <w:rFonts w:ascii="Google Sans" w:cs="Google Sans" w:eastAsia="Google Sans" w:hAnsi="Google Sans"/>
          <w:color w:val="1f1f1f"/>
          <w:rtl w:val="0"/>
        </w:rPr>
        <w:t xml:space="preserve">。这意味着，中国动力电池企业及整车制造商若要在欧洲市场立足，必须迅速建立起从上游非洲矿端、中游电芯制造，直至下游电池回收的全链路数据采集、碳足迹核算与独立审计能力。</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 国际税收征管、数字税与间接税合规</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随着跨境电商小包直邮模式的爆炸式增长，传统基于物理关境的税收体系面临巨大挑战。全球各主要经济体正密集推动增值税（VAT）与消费税（GST）的堵漏改革及全面数字化征管。</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欧盟的IOSS与OSS一站式税收征管机制</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为了消除欧盟内企业的竞争劣势并打击偷漏税行为，欧盟自2021年起全面废除了内在价值低于22欧元进口小包的免税政策，对所有进口货物征收增值税 </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。为了缓解海关压力，欧盟引入了两项关键的简化合规机制：进口一站式服务（IOSS）与联盟一站式服务（Union OSS）。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进口一站式服务（IOSS）：</w:t>
      </w:r>
      <w:r w:rsidDel="00000000" w:rsidR="00000000" w:rsidRPr="00000000">
        <w:rPr>
          <w:rFonts w:ascii="Google Sans" w:cs="Google Sans" w:eastAsia="Google Sans" w:hAnsi="Google Sans"/>
          <w:color w:val="1f1f1f"/>
          <w:rtl w:val="0"/>
        </w:rPr>
        <w:t xml:space="preserve"> 针对内在价值不超过150欧元、从第三国发往欧盟境内私人消费者的低价值包裹。采用IOSS的跨境卖家，可以在消费者结账时即计算并收取增值税，包裹在抵达欧盟海关时可凭借唯一的IOSS识别码享受免征进口增值税的绿色通道快速清关，极大降低了消费者因代收税费拒收包裹的风险 </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。然而，由于中国未与欧盟缔结相关的增值税互助援助协议，中国企业若要使用IOSS，必须在欧盟境内指定一名已注册的中间人（Intermediary）代为履行税务义务，该中间人需承担连带税务责任 </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。卖家需通过中间人每月按时提交电子税务申报表，按月缴税，并须将所有交易记录保存长达10年之久 </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联盟一站式服务（Union OSS）：</w:t>
      </w:r>
      <w:r w:rsidDel="00000000" w:rsidR="00000000" w:rsidRPr="00000000">
        <w:rPr>
          <w:rFonts w:ascii="Google Sans" w:cs="Google Sans" w:eastAsia="Google Sans" w:hAnsi="Google Sans"/>
          <w:color w:val="1f1f1f"/>
          <w:rtl w:val="0"/>
        </w:rPr>
        <w:t xml:space="preserve"> 针对已经在欧盟境内（如海外仓）且跨成员国向消费者进行远程销售的企业。该机制允许企业仅在一个成员国（即注册国）注册，即可在单份季度的增值税申报表中，申报并缴纳销往欧盟其他所有成员国的增值税款，极大地减轻了多国注册的行政负担 </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。值得注意的是，若欧盟内企业的跨境B2C服务与商品远程销售年度总额未超过10,000欧元的微型企业门槛，则仍可按其成立国的税率缴纳增值税；但此门槛对非欧盟建立的企业不适用 </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此外，欧盟出台了明确的平台责任判定：跨境电商平台（Marketplace facilitator）在促成第三方卖家面向欧盟消费者的销售时，被视为“假定供应商”（Deemed supplier），必须承担起代扣代缴增值税的全部责任 </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中东VAT税制的演进与结构化电子发票改革</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以阿联酋（UAE）和沙特为代表的海湾国家，正通过建立并深化现代税收体系，逐步摆脱对单一石油财政的依赖 </w:t>
      </w:r>
      <w:r w:rsidDel="00000000" w:rsidR="00000000" w:rsidRPr="00000000">
        <w:rPr>
          <w:rFonts w:ascii="Google Sans" w:cs="Google Sans" w:eastAsia="Google Sans" w:hAnsi="Google Sans"/>
          <w:color w:val="444746"/>
          <w:sz w:val="24"/>
          <w:szCs w:val="24"/>
          <w:vertAlign w:val="superscript"/>
          <w:rtl w:val="0"/>
        </w:rPr>
        <w:t xml:space="preserve">99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阿联酋自2018年引入5%的标准增值税（VAT）以来，税制不断完善。对于在阿联酋境内应税营业额超过375,000迪拉姆/年的企业，必须进行VAT注册并定期在线提交VAT 201申报表 </w:t>
      </w:r>
      <w:r w:rsidDel="00000000" w:rsidR="00000000" w:rsidRPr="00000000">
        <w:rPr>
          <w:rFonts w:ascii="Google Sans" w:cs="Google Sans" w:eastAsia="Google Sans" w:hAnsi="Google Sans"/>
          <w:color w:val="444746"/>
          <w:sz w:val="24"/>
          <w:szCs w:val="24"/>
          <w:vertAlign w:val="superscript"/>
          <w:rtl w:val="0"/>
        </w:rPr>
        <w:t xml:space="preserve">100</w:t>
      </w:r>
      <w:r w:rsidDel="00000000" w:rsidR="00000000" w:rsidRPr="00000000">
        <w:rPr>
          <w:rFonts w:ascii="Google Sans" w:cs="Google Sans" w:eastAsia="Google Sans" w:hAnsi="Google Sans"/>
          <w:color w:val="1f1f1f"/>
          <w:rtl w:val="0"/>
        </w:rPr>
        <w:t xml:space="preserve">。在2024年底至2025年初，阿联酋联邦税务局（FTA）实施了自VAT引入以来最重大的一次《VAT执行条例》改革（第100号内阁决定，涉及35项修订）。新规对复杂商业场景进行了厘清：明确了缺乏主要组件的单一复合供应的税务处理原则；规定非复合的多个组件必须作为独立供应分别计税；厘清了利润边际计划（Profit margin scheme）下的“购买价格”必须包含获取二手商品期间产生的所有相关成本；并对出口及国际运输服务明确了零税率的适用边界 </w:t>
      </w:r>
      <w:r w:rsidDel="00000000" w:rsidR="00000000" w:rsidRPr="00000000">
        <w:rPr>
          <w:rFonts w:ascii="Google Sans" w:cs="Google Sans" w:eastAsia="Google Sans" w:hAnsi="Google Sans"/>
          <w:color w:val="444746"/>
          <w:sz w:val="24"/>
          <w:szCs w:val="24"/>
          <w:vertAlign w:val="superscript"/>
          <w:rtl w:val="0"/>
        </w:rPr>
        <w:t xml:space="preserve">100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合规的深水区在于征管手段的数字化升级。阿联酋已宣布，自2026年起将分阶段全面强制推行结构化电子发票（e-invoicing）系统 </w:t>
      </w:r>
      <w:r w:rsidDel="00000000" w:rsidR="00000000" w:rsidRPr="00000000">
        <w:rPr>
          <w:rFonts w:ascii="Google Sans" w:cs="Google Sans" w:eastAsia="Google Sans" w:hAnsi="Google Sans"/>
          <w:color w:val="444746"/>
          <w:sz w:val="24"/>
          <w:szCs w:val="24"/>
          <w:vertAlign w:val="superscript"/>
          <w:rtl w:val="0"/>
        </w:rPr>
        <w:t xml:space="preserve">100</w:t>
      </w:r>
      <w:r w:rsidDel="00000000" w:rsidR="00000000" w:rsidRPr="00000000">
        <w:rPr>
          <w:rFonts w:ascii="Google Sans" w:cs="Google Sans" w:eastAsia="Google Sans" w:hAnsi="Google Sans"/>
          <w:color w:val="1f1f1f"/>
          <w:rtl w:val="0"/>
        </w:rPr>
        <w:t xml:space="preserve">。这一改革要求出海中东的SaaS企业、物流商及跨境卖家，必须将自身的ERP或计费系统与联邦税务局的API接口实时打通。税务合规将从传统的“月底汇总申报”转变为“实时交易锁定”，任何分类错误、延迟提交或错误的进项抵扣行为，都将被税务局系统自动识别并处以严厉罚款 </w:t>
      </w:r>
      <w:r w:rsidDel="00000000" w:rsidR="00000000" w:rsidRPr="00000000">
        <w:rPr>
          <w:rFonts w:ascii="Google Sans" w:cs="Google Sans" w:eastAsia="Google Sans" w:hAnsi="Google Sans"/>
          <w:color w:val="444746"/>
          <w:sz w:val="24"/>
          <w:szCs w:val="24"/>
          <w:vertAlign w:val="superscript"/>
          <w:rtl w:val="0"/>
        </w:rPr>
        <w:t xml:space="preserve">101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第八章 跨国用工、社会保障与劳动法合规</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中资企业在海外推进本地化运营、设立分公司或研发中心时，劳动法合规是文化冲突与法律纠纷的高发区。从美国典型的“自由雇佣”（At-will employment）到欧洲深厚的工会传统及福利保障，劳动法呈现出极强的属地化特征，中国企业国内的用工习惯在海外往往面临巨大的法律摩擦 </w:t>
      </w:r>
      <w:r w:rsidDel="00000000" w:rsidR="00000000" w:rsidRPr="00000000">
        <w:rPr>
          <w:rFonts w:ascii="Google Sans" w:cs="Google Sans" w:eastAsia="Google Sans" w:hAnsi="Google Sans"/>
          <w:color w:val="444746"/>
          <w:sz w:val="24"/>
          <w:szCs w:val="24"/>
          <w:vertAlign w:val="superscript"/>
          <w:rtl w:val="0"/>
        </w:rPr>
        <w:t xml:space="preserve">103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欧盟的《工作时间指令》与休息权保障</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欧洲，劳动权益保护被视为不可侵犯的基本人权。《欧盟工作时间指令》（2003/88/EC）强制要求所有成员国确保劳动者的法定最长工时与休息时间。该指令规定，任何工人每7天的平均工作时间（包含所有的加班时间）绝不能超过48小时；在每24小时周期内，工人必须获得至少11小时的连续不间断休息；每工作7天，在11小时的每日休息之外，还必须享受至少24小时的连续休息；且员工每年享有至少4周的带薪年假 </w:t>
      </w:r>
      <w:r w:rsidDel="00000000" w:rsidR="00000000" w:rsidRPr="00000000">
        <w:rPr>
          <w:rFonts w:ascii="Google Sans" w:cs="Google Sans" w:eastAsia="Google Sans" w:hAnsi="Google Sans"/>
          <w:color w:val="444746"/>
          <w:sz w:val="24"/>
          <w:szCs w:val="24"/>
          <w:vertAlign w:val="superscript"/>
          <w:rtl w:val="0"/>
        </w:rPr>
        <w:t xml:space="preserve">104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成员国在此基础上实施了更为严格的落地政策。例如，在德国，法定的最高日工作时间为8小时，虽然允许在特殊情况下延长至10小时，但前提是必须保证在任意连续的6个月或24周内，平均日工时不能超过8小时。超过6小时的工作必须强制安排30分钟休息，且原则上严禁在周日和公共假日工作 </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。在意大利，尽管《第66/2003号立法法令》规定标准工作周为40小时，但各行业的国家集体劳动协议（NCLA）往往会制定更低的工作时间上限 </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。对于习惯了“996”高强度运转的出海企业而言，若未能精确追踪海外员工考勤并支付合规的加班费，将面临极高的劳动仲裁风险与重罚。</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东南亚与中东的用工保护新政与合同规制</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在印度尼西亚，劳动法体系由《2003年第13号人力法》及近年来旨在刺激经济但引发争议的《创造就业法》（Omnibus Law）主导 </w:t>
      </w:r>
      <w:r w:rsidDel="00000000" w:rsidR="00000000" w:rsidRPr="00000000">
        <w:rPr>
          <w:rFonts w:ascii="Google Sans" w:cs="Google Sans" w:eastAsia="Google Sans" w:hAnsi="Google Sans"/>
          <w:color w:val="444746"/>
          <w:sz w:val="24"/>
          <w:szCs w:val="24"/>
          <w:vertAlign w:val="superscript"/>
          <w:rtl w:val="0"/>
        </w:rPr>
        <w:t xml:space="preserve">106</w:t>
      </w:r>
      <w:r w:rsidDel="00000000" w:rsidR="00000000" w:rsidRPr="00000000">
        <w:rPr>
          <w:rFonts w:ascii="Google Sans" w:cs="Google Sans" w:eastAsia="Google Sans" w:hAnsi="Google Sans"/>
          <w:color w:val="1f1f1f"/>
          <w:rtl w:val="0"/>
        </w:rPr>
        <w:t xml:space="preserve">。印尼法律承认固定期限雇佣合同（PKWT）与无固定期限合同（PKWTT）。雇主必须为所有员工缴纳全面的国家社会保障（BPJS），包含健康、工伤、死亡及养老保障 </w:t>
      </w:r>
      <w:r w:rsidDel="00000000" w:rsidR="00000000" w:rsidRPr="00000000">
        <w:rPr>
          <w:rFonts w:ascii="Google Sans" w:cs="Google Sans" w:eastAsia="Google Sans" w:hAnsi="Google Sans"/>
          <w:color w:val="444746"/>
          <w:sz w:val="24"/>
          <w:szCs w:val="24"/>
          <w:vertAlign w:val="superscript"/>
          <w:rtl w:val="0"/>
        </w:rPr>
        <w:t xml:space="preserve">107</w:t>
      </w:r>
      <w:r w:rsidDel="00000000" w:rsidR="00000000" w:rsidRPr="00000000">
        <w:rPr>
          <w:rFonts w:ascii="Google Sans" w:cs="Google Sans" w:eastAsia="Google Sans" w:hAnsi="Google Sans"/>
          <w:color w:val="1f1f1f"/>
          <w:rtl w:val="0"/>
        </w:rPr>
        <w:t xml:space="preserve">。Omnibus Law的最新配套法规（第37/2021号条例）更是设立了一项全新的强制性失业保险计划（JKP）。该规定要求雇主必须在所有54岁以下的新员工入职30天内完成JKP登记；若雇主未能履约注册，一旦员工离职，雇主必须自掏腰包承担本应由JKP基金支付的失业现金福利及职业培训费用 </w:t>
      </w:r>
      <w:r w:rsidDel="00000000" w:rsidR="00000000" w:rsidRPr="00000000">
        <w:rPr>
          <w:rFonts w:ascii="Google Sans" w:cs="Google Sans" w:eastAsia="Google Sans" w:hAnsi="Google Sans"/>
          <w:color w:val="444746"/>
          <w:sz w:val="24"/>
          <w:szCs w:val="24"/>
          <w:vertAlign w:val="superscript"/>
          <w:rtl w:val="0"/>
        </w:rPr>
        <w:t xml:space="preserve">108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阿联酋同样对劳动用工进行了彻底的法律重构。2021年颁布的第33号联邦法令（新《劳动法》）从根本上改变了传统的雇佣模式，直接废除了无固定期限合同，强制要求所有雇主在过渡期内，将劳动合同全部转换为期限不超过3年的固定期限合同（期满后可延长或续签） </w:t>
      </w:r>
      <w:r w:rsidDel="00000000" w:rsidR="00000000" w:rsidRPr="00000000">
        <w:rPr>
          <w:rFonts w:ascii="Google Sans" w:cs="Google Sans" w:eastAsia="Google Sans" w:hAnsi="Google Sans"/>
          <w:color w:val="444746"/>
          <w:sz w:val="24"/>
          <w:szCs w:val="24"/>
          <w:vertAlign w:val="superscript"/>
          <w:rtl w:val="0"/>
        </w:rPr>
        <w:t xml:space="preserve">109</w:t>
      </w:r>
      <w:r w:rsidDel="00000000" w:rsidR="00000000" w:rsidRPr="00000000">
        <w:rPr>
          <w:rFonts w:ascii="Google Sans" w:cs="Google Sans" w:eastAsia="Google Sans" w:hAnsi="Google Sans"/>
          <w:color w:val="1f1f1f"/>
          <w:rtl w:val="0"/>
        </w:rPr>
        <w:t xml:space="preserve">。在工作内容变更方面，若雇主指派员工执行合同约定外的工作且导致员工需要变更居住地，雇主必须承担员工由此产生的所有调迁与财务费用 </w:t>
      </w:r>
      <w:r w:rsidDel="00000000" w:rsidR="00000000" w:rsidRPr="00000000">
        <w:rPr>
          <w:rFonts w:ascii="Google Sans" w:cs="Google Sans" w:eastAsia="Google Sans" w:hAnsi="Google Sans"/>
          <w:color w:val="444746"/>
          <w:sz w:val="24"/>
          <w:szCs w:val="24"/>
          <w:vertAlign w:val="superscript"/>
          <w:rtl w:val="0"/>
        </w:rPr>
        <w:t xml:space="preserve">110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在全球人员招聘环节，入职背景调查（Hiring checks）的合规性同样不容忽视。在大多国家，背调需在求职者明确同意且符合隐私法的前提下进行；而在智利与比利时，法律甚至直接禁止在雇佣合同中设定试用期，这要求HR部门在发布全球招聘Offer时必须因地制宜 </w:t>
      </w:r>
      <w:r w:rsidDel="00000000" w:rsidR="00000000" w:rsidRPr="00000000">
        <w:rPr>
          <w:rFonts w:ascii="Google Sans" w:cs="Google Sans" w:eastAsia="Google Sans" w:hAnsi="Google Sans"/>
          <w:color w:val="444746"/>
          <w:sz w:val="24"/>
          <w:szCs w:val="24"/>
          <w:vertAlign w:val="superscript"/>
          <w:rtl w:val="0"/>
        </w:rPr>
        <w:t xml:space="preserve">111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结论与前瞻：在不确定性中构建动态合规韧性体系</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上述对投资、贸易、反垄断、数据、电商、认证、税务及劳工等八大核心维度的抽丝剥茧，2025-2026年的全球监管图谱清晰地表明：中国企业的出海合规早已超越了规避单一国家特定法条惩戒的范畴，演变为应对国家间地缘政治博弈、数字主权竞争与本土产业利益保护相交织的复杂系统工程。</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深剖各项法规的演进脉络，揭示了以下三个深刻的底层宏观趋势：</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w:t>
      </w:r>
      <w:r w:rsidDel="00000000" w:rsidR="00000000" w:rsidRPr="00000000">
        <w:rPr>
          <w:rFonts w:ascii="Google Sans" w:cs="Google Sans" w:eastAsia="Google Sans" w:hAnsi="Google Sans"/>
          <w:b w:val="1"/>
          <w:bCs w:val="1"/>
          <w:color w:val="1f1f1f"/>
          <w:rtl w:val="0"/>
        </w:rPr>
        <w:t xml:space="preserve">“合规壁垒的武器化与双向挤压”</w:t>
      </w:r>
      <w:r w:rsidDel="00000000" w:rsidR="00000000" w:rsidRPr="00000000">
        <w:rPr>
          <w:rFonts w:ascii="Google Sans" w:cs="Google Sans" w:eastAsia="Google Sans" w:hAnsi="Google Sans"/>
          <w:color w:val="1f1f1f"/>
          <w:rtl w:val="0"/>
        </w:rPr>
        <w:t xml:space="preserve">。无论是美国《通胀削减法案》中FEOC条款精准狙击中国电池产业链的北美扩张，还是欧盟通过《数字市场法》与新《电池法规》设置极高的排他性壁垒，合规已被大国当作重塑全球关键供应链控制权的核心武器。与此同时，中国《两用物项出口管制条例》对镓等稀有金属以及锂电制造技术的限制出口，确立了精准的反向战略制衡手段。企业必须学会在两套甚至多套相互冲突的国家安全法律体系夹缝中，寻找生存的平衡点。</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w:t>
      </w:r>
      <w:r w:rsidDel="00000000" w:rsidR="00000000" w:rsidRPr="00000000">
        <w:rPr>
          <w:rFonts w:ascii="Google Sans" w:cs="Google Sans" w:eastAsia="Google Sans" w:hAnsi="Google Sans"/>
          <w:b w:val="1"/>
          <w:bCs w:val="1"/>
          <w:color w:val="1f1f1f"/>
          <w:rtl w:val="0"/>
        </w:rPr>
        <w:t xml:space="preserve">“数据主权与数字本地化的碎片化”</w:t>
      </w:r>
      <w:r w:rsidDel="00000000" w:rsidR="00000000" w:rsidRPr="00000000">
        <w:rPr>
          <w:rFonts w:ascii="Google Sans" w:cs="Google Sans" w:eastAsia="Google Sans" w:hAnsi="Google Sans"/>
          <w:color w:val="1f1f1f"/>
          <w:rtl w:val="0"/>
        </w:rPr>
        <w:t xml:space="preserve">。从沙特的Cloud First云优先战略，到印尼的GR 71，再到越南的Decree 13与53，以国家安全名义推行的数据存储属地化要求，彻底打破了SaaS企业和跨国平台“一点部署、全球无缝服务”的低成本商业模型。数据合规迫使出海企业必须进行底层IT架构的属地化拆分，并承担高昂的本地算力投资与合规人员成本。</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w:t>
      </w:r>
      <w:r w:rsidDel="00000000" w:rsidR="00000000" w:rsidRPr="00000000">
        <w:rPr>
          <w:rFonts w:ascii="Google Sans" w:cs="Google Sans" w:eastAsia="Google Sans" w:hAnsi="Google Sans"/>
          <w:b w:val="1"/>
          <w:bCs w:val="1"/>
          <w:color w:val="1f1f1f"/>
          <w:rtl w:val="0"/>
        </w:rPr>
        <w:t xml:space="preserve">“责任向链主与平台方的无限穿透”</w:t>
      </w:r>
      <w:r w:rsidDel="00000000" w:rsidR="00000000" w:rsidRPr="00000000">
        <w:rPr>
          <w:rFonts w:ascii="Google Sans" w:cs="Google Sans" w:eastAsia="Google Sans" w:hAnsi="Google Sans"/>
          <w:color w:val="1f1f1f"/>
          <w:rtl w:val="0"/>
        </w:rPr>
        <w:t xml:space="preserve">。从欧盟DSA/Omnibus、美国INFORM消费者法案对电商平台假冒伪劣行为的连带责任追究，到UNECE车辆网络安全法规（UN R155/R156）要求主机厂对多级供应商进行网络安全担保，再到欧盟IOSS要求税务中间人承担连带缴税义务。监管机构正越来越倾向于采用“穿透式管辖”，即抓住生态链中资金最雄厚、技术掌控力最强的节点（平台方或链主），强制其承担起全链条的实质性审查与兜底责任。</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基于以上洞察，单纯的法务审查已无法应对系统性的出海挑战。企业亟需从被动的“灭火式合规”向主动的“动态合规韧性体系”升级：</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实现合规职能的前置与矩阵化管理</w:t>
      </w:r>
      <w:r w:rsidDel="00000000" w:rsidR="00000000" w:rsidRPr="00000000">
        <w:rPr>
          <w:rFonts w:ascii="Google Sans" w:cs="Google Sans" w:eastAsia="Google Sans" w:hAnsi="Google Sans"/>
          <w:color w:val="1f1f1f"/>
          <w:rtl w:val="0"/>
        </w:rPr>
        <w:t xml:space="preserve">：打破法务、研发、供应链与业务的部门孤岛。在软件代码编写、硬件开模之初，即嵌入隐私保护设计（PbD）与ESG碳追踪能力，将合规要求转化为产品定义的一部分。</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供应链与数据流的区域化解耦</w:t>
      </w:r>
      <w:r w:rsidDel="00000000" w:rsidR="00000000" w:rsidRPr="00000000">
        <w:rPr>
          <w:rFonts w:ascii="Google Sans" w:cs="Google Sans" w:eastAsia="Google Sans" w:hAnsi="Google Sans"/>
          <w:color w:val="1f1f1f"/>
          <w:rtl w:val="0"/>
        </w:rPr>
        <w:t xml:space="preserve">：面对日益严重的脱钩风险与区域性合规壁垒（如海湾G-Mark、东盟准则），企业需构建“中国+1”甚至“区域闭环”的供应链、结算体系与数据中心架构，通过物理与数字的双重隔离，对冲地缘制裁的蔓延风险。</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强化内部审计机制与在地化沟通网络</w:t>
      </w:r>
      <w:r w:rsidDel="00000000" w:rsidR="00000000" w:rsidRPr="00000000">
        <w:rPr>
          <w:rFonts w:ascii="Google Sans" w:cs="Google Sans" w:eastAsia="Google Sans" w:hAnsi="Google Sans"/>
          <w:color w:val="1f1f1f"/>
          <w:rtl w:val="0"/>
        </w:rPr>
        <w:t xml:space="preserve">：借助国际高水平的第三方评估机构完善常态化内部审计，并积极建立与东道国监管高层、行业协会、劳工组织及数据安全部门的透明沟通渠道。以高度本地化的高质量履约，换取长期的市场信任。</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在这个竞争更为残酷的“大航海时代”，卓越的合规能力不再仅仅是防守的铠甲，它更是中国企业获取全球高端市场溢价、跨越贸易壁垒，并最终实现可持续、高质量国际化生存的最锋利武器。</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吴红樱：2025上市公司境外投资（ODI）备案合规指南- 研究成果 ..., 访问时间为 四月 25, 2026， </w:t>
      </w:r>
      <w:hyperlink r:id="rId6">
        <w:r w:rsidDel="00000000" w:rsidR="00000000" w:rsidRPr="00000000">
          <w:rPr>
            <w:rFonts w:ascii="Google Sans" w:cs="Google Sans" w:eastAsia="Google Sans" w:hAnsi="Google Sans"/>
            <w:color w:val="0000ee"/>
            <w:sz w:val="24"/>
            <w:szCs w:val="24"/>
            <w:u w:val="single"/>
            <w:rtl w:val="0"/>
          </w:rPr>
          <w:t xml:space="preserve">https://www.oceanlawfirm.com/html/2025/rdwt_0627/609.html</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direct investment reviews 2024: United States | White &amp; Case LLP, 访问时间为 四月 25, 2026， </w:t>
      </w:r>
      <w:hyperlink r:id="rId7">
        <w:r w:rsidDel="00000000" w:rsidR="00000000" w:rsidRPr="00000000">
          <w:rPr>
            <w:rFonts w:ascii="Google Sans" w:cs="Google Sans" w:eastAsia="Google Sans" w:hAnsi="Google Sans"/>
            <w:color w:val="0000ee"/>
            <w:sz w:val="24"/>
            <w:szCs w:val="24"/>
            <w:u w:val="single"/>
            <w:rtl w:val="0"/>
          </w:rPr>
          <w:t xml:space="preserve">https://www.whitecase.com/insight-our-thinking/foreign-direct-investment-reviews-2024-united-states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Takeaways from the CFIUS 2024 Annual Report - Global Trade &amp; Sanctions Law, 访问时间为 四月 25, 2026， </w:t>
      </w:r>
      <w:hyperlink r:id="rId8">
        <w:r w:rsidDel="00000000" w:rsidR="00000000" w:rsidRPr="00000000">
          <w:rPr>
            <w:rFonts w:ascii="Google Sans" w:cs="Google Sans" w:eastAsia="Google Sans" w:hAnsi="Google Sans"/>
            <w:color w:val="0000ee"/>
            <w:sz w:val="24"/>
            <w:szCs w:val="24"/>
            <w:u w:val="single"/>
            <w:rtl w:val="0"/>
          </w:rPr>
          <w:t xml:space="preserve">https://www.globaltradeandsanctionslaw.com/key-takeaways-cfius-2024-annual-report/</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direct investment screening in Australia, the United States, the United Kingdom, Japan and the European Union: recent reforms, 访问时间为 四月 25, 2026， </w:t>
      </w:r>
      <w:hyperlink r:id="rId9">
        <w:r w:rsidDel="00000000" w:rsidR="00000000" w:rsidRPr="00000000">
          <w:rPr>
            <w:rFonts w:ascii="Google Sans" w:cs="Google Sans" w:eastAsia="Google Sans" w:hAnsi="Google Sans"/>
            <w:color w:val="0000ee"/>
            <w:sz w:val="24"/>
            <w:szCs w:val="24"/>
            <w:u w:val="single"/>
            <w:rtl w:val="0"/>
          </w:rPr>
          <w:t xml:space="preserve">https://www.ussc.edu.au/foreign-direct-investment-screening-in-australia-the-united-states-the-united-kingdom-japan-and-the-european-union-recent-reforms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STREAMLINING FOREIGN INVESTMENT AND CFIUS PROCESSES: WHAT YOU NEED TO KNOW - Clifford Chance, 访问时间为 四月 25, 2026， </w:t>
      </w:r>
      <w:hyperlink r:id="rId10">
        <w:r w:rsidDel="00000000" w:rsidR="00000000" w:rsidRPr="00000000">
          <w:rPr>
            <w:rFonts w:ascii="Google Sans" w:cs="Google Sans" w:eastAsia="Google Sans" w:hAnsi="Google Sans"/>
            <w:color w:val="0000ee"/>
            <w:sz w:val="24"/>
            <w:szCs w:val="24"/>
            <w:u w:val="single"/>
            <w:rtl w:val="0"/>
          </w:rPr>
          <w:t xml:space="preserve">https://www.cliffordchance.com/content/dam/cliffordchance/expertise/Antitrust/global-foreign-investment-and-cfius-brochure-2025.pdf</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FOREIGN DIRECT INVESTMENT REGULATION IN M&amp;A - Herbert Smith Freehills, 访问时间为 四月 25, 2026， </w:t>
      </w:r>
      <w:hyperlink r:id="rId11">
        <w:r w:rsidDel="00000000" w:rsidR="00000000" w:rsidRPr="00000000">
          <w:rPr>
            <w:rFonts w:ascii="Google Sans" w:cs="Google Sans" w:eastAsia="Google Sans" w:hAnsi="Google Sans"/>
            <w:color w:val="0000ee"/>
            <w:sz w:val="24"/>
            <w:szCs w:val="24"/>
            <w:u w:val="single"/>
            <w:rtl w:val="0"/>
          </w:rPr>
          <w:t xml:space="preserve">https://www.hsfkramer.com/dam/jcr:94e59858-5c5a-446d-baac-e30817fbad9e/Navigating%20FDI%20Regulation%20in%20M%20and%20A%20(Global%20Brochure)%20(November%202024).pdf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Published Implementing Regulations under the Export ..., 访问时间为 四月 25, 2026， </w:t>
      </w:r>
      <w:hyperlink r:id="rId12">
        <w:r w:rsidDel="00000000" w:rsidR="00000000" w:rsidRPr="00000000">
          <w:rPr>
            <w:rFonts w:ascii="Google Sans" w:cs="Google Sans" w:eastAsia="Google Sans" w:hAnsi="Google Sans"/>
            <w:color w:val="0000ee"/>
            <w:sz w:val="24"/>
            <w:szCs w:val="24"/>
            <w:u w:val="single"/>
            <w:rtl w:val="0"/>
          </w:rPr>
          <w:t xml:space="preserve">https://sanctionsnews.bakermckenzie.com/china-published-implementing-regulations-under-the-export-control-law/</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Catalogue of Technologies Prohibited or Restricted from ..., 访问时间为 四月 25, 2026， </w:t>
      </w:r>
      <w:hyperlink r:id="rId13">
        <w:r w:rsidDel="00000000" w:rsidR="00000000" w:rsidRPr="00000000">
          <w:rPr>
            <w:rFonts w:ascii="Google Sans" w:cs="Google Sans" w:eastAsia="Google Sans" w:hAnsi="Google Sans"/>
            <w:color w:val="0000ee"/>
            <w:sz w:val="24"/>
            <w:szCs w:val="24"/>
            <w:u w:val="single"/>
            <w:rtl w:val="0"/>
          </w:rPr>
          <w:t xml:space="preserve">https://cset.georgetown.edu/publication/china-export-control-catalog-july-2025/</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Technologies Are Subject to Export Control in China: New Catalogue, 访问时间为 四月 25, 2026， </w:t>
      </w:r>
      <w:hyperlink r:id="rId14">
        <w:r w:rsidDel="00000000" w:rsidR="00000000" w:rsidRPr="00000000">
          <w:rPr>
            <w:rFonts w:ascii="Google Sans" w:cs="Google Sans" w:eastAsia="Google Sans" w:hAnsi="Google Sans"/>
            <w:color w:val="0000ee"/>
            <w:sz w:val="24"/>
            <w:szCs w:val="24"/>
            <w:u w:val="single"/>
            <w:rtl w:val="0"/>
          </w:rPr>
          <w:t xml:space="preserve">https://www.china-briefing.com/news/technologies-subject-to-export-control-in-china-prohibited-restricted-export-catalogue/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 review of foreign sanctions and export control developments involving China, 访问时间为 四月 25, 2026， </w:t>
      </w:r>
      <w:hyperlink r:id="rId15">
        <w:r w:rsidDel="00000000" w:rsidR="00000000" w:rsidRPr="00000000">
          <w:rPr>
            <w:rFonts w:ascii="Google Sans" w:cs="Google Sans" w:eastAsia="Google Sans" w:hAnsi="Google Sans"/>
            <w:color w:val="0000ee"/>
            <w:sz w:val="24"/>
            <w:szCs w:val="24"/>
            <w:u w:val="single"/>
            <w:rtl w:val="0"/>
          </w:rPr>
          <w:t xml:space="preserve">https://www.alixpartners.com/insights/102juve/2024-a-review-of-foreign-sanctions-and-export-control-developments-involving-chi/</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Treasury Releases Proposed Guidance to Continue U.S. Manufacturing Boom in Batteries and Clean Vehicles, Strengthen Energy Security, 访问时间为 四月 25, 2026， </w:t>
      </w:r>
      <w:hyperlink r:id="rId16">
        <w:r w:rsidDel="00000000" w:rsidR="00000000" w:rsidRPr="00000000">
          <w:rPr>
            <w:rFonts w:ascii="Google Sans" w:cs="Google Sans" w:eastAsia="Google Sans" w:hAnsi="Google Sans"/>
            <w:color w:val="0000ee"/>
            <w:sz w:val="24"/>
            <w:szCs w:val="24"/>
            <w:u w:val="single"/>
            <w:rtl w:val="0"/>
          </w:rPr>
          <w:t xml:space="preserve">https://home.treasury.gov/news/press-releases/jy1939</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IRA guidance limits battery components made in China | Manufacturing Dive, 访问时间为 四月 25, 2026， </w:t>
      </w:r>
      <w:hyperlink r:id="rId17">
        <w:r w:rsidDel="00000000" w:rsidR="00000000" w:rsidRPr="00000000">
          <w:rPr>
            <w:rFonts w:ascii="Google Sans" w:cs="Google Sans" w:eastAsia="Google Sans" w:hAnsi="Google Sans"/>
            <w:color w:val="0000ee"/>
            <w:sz w:val="24"/>
            <w:szCs w:val="24"/>
            <w:u w:val="single"/>
            <w:rtl w:val="0"/>
          </w:rPr>
          <w:t xml:space="preserve">https://www.manufacturingdive.com/news/ira-guidance-foreign-entity-of-concern-automakers-evs-batteries-china/701344/</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 EV Tax Credits: Requirements for Domestic Manufacturing - Bipartisan Policy Center, 访问时间为 四月 25, 2026， </w:t>
      </w:r>
      <w:hyperlink r:id="rId18">
        <w:r w:rsidDel="00000000" w:rsidR="00000000" w:rsidRPr="00000000">
          <w:rPr>
            <w:rFonts w:ascii="Google Sans" w:cs="Google Sans" w:eastAsia="Google Sans" w:hAnsi="Google Sans"/>
            <w:color w:val="0000ee"/>
            <w:sz w:val="24"/>
            <w:szCs w:val="24"/>
            <w:u w:val="single"/>
            <w:rtl w:val="0"/>
          </w:rPr>
          <w:t xml:space="preserve">https://bipartisanpolicy.org/article/ira-ev-tax-credits/</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 Section 13401 - Clean Vehicle Credit - Inflation Reduction Act Tracker, 访问时间为 四月 25, 2026， </w:t>
      </w:r>
      <w:hyperlink r:id="rId19">
        <w:r w:rsidDel="00000000" w:rsidR="00000000" w:rsidRPr="00000000">
          <w:rPr>
            <w:rFonts w:ascii="Google Sans" w:cs="Google Sans" w:eastAsia="Google Sans" w:hAnsi="Google Sans"/>
            <w:color w:val="0000ee"/>
            <w:sz w:val="24"/>
            <w:szCs w:val="24"/>
            <w:u w:val="single"/>
            <w:rtl w:val="0"/>
          </w:rPr>
          <w:t xml:space="preserve">https://iratracker.org/programs/ira-section-13401-clean-vehicle-credit/</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Lessons from the Rise of Antitrust Enforcement in South-East Asia, 访问时间为 四月 25, 2026， </w:t>
      </w:r>
      <w:hyperlink r:id="rId20">
        <w:r w:rsidDel="00000000" w:rsidR="00000000" w:rsidRPr="00000000">
          <w:rPr>
            <w:rFonts w:ascii="Google Sans" w:cs="Google Sans" w:eastAsia="Google Sans" w:hAnsi="Google Sans"/>
            <w:color w:val="0000ee"/>
            <w:sz w:val="24"/>
            <w:szCs w:val="24"/>
            <w:u w:val="single"/>
            <w:rtl w:val="0"/>
          </w:rPr>
          <w:t xml:space="preserve">https://www.competitionpolicyinternational.com/wp-content/uploads/2023/02/Asia-Column-February-2023-Full.pdf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 THE PRESIDENT OF THE REPUBLIC OF INDONESIA LAW OF THE REPUBLIC OF INDONESIA NUMBER 5 YEAR 1999 CONCERNING PROHIBITION, 访问时间为 四月 25, 2026， </w:t>
      </w:r>
      <w:hyperlink r:id="rId21">
        <w:r w:rsidDel="00000000" w:rsidR="00000000" w:rsidRPr="00000000">
          <w:rPr>
            <w:rFonts w:ascii="Google Sans" w:cs="Google Sans" w:eastAsia="Google Sans" w:hAnsi="Google Sans"/>
            <w:color w:val="0000ee"/>
            <w:sz w:val="24"/>
            <w:szCs w:val="24"/>
            <w:u w:val="single"/>
            <w:rtl w:val="0"/>
          </w:rPr>
          <w:t xml:space="preserve">https://www.flevin.com/id/lgso/translations/Laws/Law%20No.%205%20of%201999%20on%20the%20Prohibition%20of%20Monopolistic%20Practices%20and%20Unfair%20Business%20Competition%20(BKPM).pdf</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Competition Law Sanctions in Indonesia and a Comparison to Other ASEAN Member States, 访问时间为 四月 25, 2026， </w:t>
      </w:r>
      <w:hyperlink r:id="rId22">
        <w:r w:rsidDel="00000000" w:rsidR="00000000" w:rsidRPr="00000000">
          <w:rPr>
            <w:rFonts w:ascii="Google Sans" w:cs="Google Sans" w:eastAsia="Google Sans" w:hAnsi="Google Sans"/>
            <w:color w:val="0000ee"/>
            <w:sz w:val="24"/>
            <w:szCs w:val="24"/>
            <w:u w:val="single"/>
            <w:rtl w:val="0"/>
          </w:rPr>
          <w:t xml:space="preserve">https://www.cambridge.org/core/books/cambridge-handbook-of-competition-law-sanctions/competition-law-sanctions-in-indonesia-and-a-comparison-to-other-asean-member-states/1DA7AA632726D0F8E34CDAE9C313FBA4</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antitrust and competition law in Asia Pacific | Clifford Chance, 访问时间为 四月 25, 2026， </w:t>
      </w:r>
      <w:hyperlink r:id="rId23">
        <w:r w:rsidDel="00000000" w:rsidR="00000000" w:rsidRPr="00000000">
          <w:rPr>
            <w:rFonts w:ascii="Google Sans" w:cs="Google Sans" w:eastAsia="Google Sans" w:hAnsi="Google Sans"/>
            <w:color w:val="0000ee"/>
            <w:sz w:val="24"/>
            <w:szCs w:val="24"/>
            <w:u w:val="single"/>
            <w:rtl w:val="0"/>
          </w:rPr>
          <w:t xml:space="preserve">https://www.cliffordchance.com/content/dam/cliffordchance/briefings/2014/02/a-guide-to-antitrust-and-competition-law-in-asia-pacific.pdf</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21st ASLI Conference 2024 – 29 &amp; 30 May 2024 - NUS - Faculty of Law, 访问时间为 四月 25, 2026， </w:t>
      </w:r>
      <w:hyperlink r:id="rId24">
        <w:r w:rsidDel="00000000" w:rsidR="00000000" w:rsidRPr="00000000">
          <w:rPr>
            <w:rFonts w:ascii="Google Sans" w:cs="Google Sans" w:eastAsia="Google Sans" w:hAnsi="Google Sans"/>
            <w:color w:val="0000ee"/>
            <w:sz w:val="24"/>
            <w:szCs w:val="24"/>
            <w:u w:val="single"/>
            <w:rtl w:val="0"/>
          </w:rPr>
          <w:t xml:space="preserve">https://law1a.nus.edu.sg/asli/21st_asli_conf/pdf/P3_Competition_Law.pdf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Comeback of Chinese Merger Control Enforcement - Blogs overview, 访问时间为 四月 25, 2026， </w:t>
      </w:r>
      <w:hyperlink r:id="rId25">
        <w:r w:rsidDel="00000000" w:rsidR="00000000" w:rsidRPr="00000000">
          <w:rPr>
            <w:rFonts w:ascii="Google Sans" w:cs="Google Sans" w:eastAsia="Google Sans" w:hAnsi="Google Sans"/>
            <w:color w:val="0000ee"/>
            <w:sz w:val="24"/>
            <w:szCs w:val="24"/>
            <w:u w:val="single"/>
            <w:rtl w:val="0"/>
          </w:rPr>
          <w:t xml:space="preserve">https://legalblogs.wolterskluwer.com/competition-blog/the-2025-comeback-of-chinese-merger-control-enforcement/</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Antitrust in China – 2025 Year in Review - Gibson Dunn, 访问时间为 四月 25, 2026， </w:t>
      </w:r>
      <w:hyperlink r:id="rId26">
        <w:r w:rsidDel="00000000" w:rsidR="00000000" w:rsidRPr="00000000">
          <w:rPr>
            <w:rFonts w:ascii="Google Sans" w:cs="Google Sans" w:eastAsia="Google Sans" w:hAnsi="Google Sans"/>
            <w:color w:val="0000ee"/>
            <w:sz w:val="24"/>
            <w:szCs w:val="24"/>
            <w:u w:val="single"/>
            <w:rtl w:val="0"/>
          </w:rPr>
          <w:t xml:space="preserve">https://www.gibsondunn.com/antitrust-in-china-2025-year-in-review/</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Antitrust in China – 2024 Year in Review - Gibson Dunn, 访问时间为 四月 25, 2026， </w:t>
      </w:r>
      <w:hyperlink r:id="rId27">
        <w:r w:rsidDel="00000000" w:rsidR="00000000" w:rsidRPr="00000000">
          <w:rPr>
            <w:rFonts w:ascii="Google Sans" w:cs="Google Sans" w:eastAsia="Google Sans" w:hAnsi="Google Sans"/>
            <w:color w:val="0000ee"/>
            <w:sz w:val="24"/>
            <w:szCs w:val="24"/>
            <w:u w:val="single"/>
            <w:rtl w:val="0"/>
          </w:rPr>
          <w:t xml:space="preserve">https://www.gibsondunn.com/antitrust-in-china-review-and-outlook-2025/</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Antitrust Laws: Trends and Predictions - Miller Shah LLP, 访问时间为 四月 25, 2026， </w:t>
      </w:r>
      <w:hyperlink r:id="rId28">
        <w:r w:rsidDel="00000000" w:rsidR="00000000" w:rsidRPr="00000000">
          <w:rPr>
            <w:rFonts w:ascii="Google Sans" w:cs="Google Sans" w:eastAsia="Google Sans" w:hAnsi="Google Sans"/>
            <w:color w:val="0000ee"/>
            <w:sz w:val="24"/>
            <w:szCs w:val="24"/>
            <w:u w:val="single"/>
            <w:rtl w:val="0"/>
          </w:rPr>
          <w:t xml:space="preserve">https://millershah.com/blog/the-future-of-antitrust-laws-trends-and-predictions/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Data Localization Across Global Privacy Laws - TrustArc, 访问时间为 四月 25, 2026， </w:t>
      </w:r>
      <w:hyperlink r:id="rId29">
        <w:r w:rsidDel="00000000" w:rsidR="00000000" w:rsidRPr="00000000">
          <w:rPr>
            <w:rFonts w:ascii="Google Sans" w:cs="Google Sans" w:eastAsia="Google Sans" w:hAnsi="Google Sans"/>
            <w:color w:val="0000ee"/>
            <w:sz w:val="24"/>
            <w:szCs w:val="24"/>
            <w:u w:val="single"/>
            <w:rtl w:val="0"/>
          </w:rPr>
          <w:t xml:space="preserve">https://trustarc.com/resource/data-localization-global-privacy-laws/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Localisation and Transfer Issues in Southeast Asia: What Businesses Need to Know, 访问时间为 四月 25, 2026， </w:t>
      </w:r>
      <w:hyperlink r:id="rId30">
        <w:r w:rsidDel="00000000" w:rsidR="00000000" w:rsidRPr="00000000">
          <w:rPr>
            <w:rFonts w:ascii="Google Sans" w:cs="Google Sans" w:eastAsia="Google Sans" w:hAnsi="Google Sans"/>
            <w:color w:val="0000ee"/>
            <w:sz w:val="24"/>
            <w:szCs w:val="24"/>
            <w:u w:val="single"/>
            <w:rtl w:val="0"/>
          </w:rPr>
          <w:t xml:space="preserve">https://rouse.com/insights/news/2025/data-localisation-and-transfer-issues-in-southeast-asia-what-businesses-need-to-know</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Indonesia's Data Localization Regulation | Knowledge Base Articles | Jun 9, 2025 | ITIF, 访问时间为 四月 25, 2026， </w:t>
      </w:r>
      <w:hyperlink r:id="rId31">
        <w:r w:rsidDel="00000000" w:rsidR="00000000" w:rsidRPr="00000000">
          <w:rPr>
            <w:rFonts w:ascii="Google Sans" w:cs="Google Sans" w:eastAsia="Google Sans" w:hAnsi="Google Sans"/>
            <w:color w:val="0000ee"/>
            <w:sz w:val="24"/>
            <w:szCs w:val="24"/>
            <w:u w:val="single"/>
            <w:rtl w:val="0"/>
          </w:rPr>
          <w:t xml:space="preserve">https://itif.org/publications/2025/06/09/indonesia-data-localization-regulation/</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Digital Asset Law 2026: A Guide to Compliant Crypto Custody &amp; Data Sovereignty, 访问时间为 四月 25, 2026， </w:t>
      </w:r>
      <w:hyperlink r:id="rId32">
        <w:r w:rsidDel="00000000" w:rsidR="00000000" w:rsidRPr="00000000">
          <w:rPr>
            <w:rFonts w:ascii="Google Sans" w:cs="Google Sans" w:eastAsia="Google Sans" w:hAnsi="Google Sans"/>
            <w:color w:val="0000ee"/>
            <w:sz w:val="24"/>
            <w:szCs w:val="24"/>
            <w:u w:val="single"/>
            <w:rtl w:val="0"/>
          </w:rPr>
          <w:t xml:space="preserve">https://fystack.io/blog/vietnam-digital-asset-law-a-guide-to-compliant-crypto-custody-and-data-sovereignty</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Data Localization? A Special Focus on Southeast Asia - Sangfor Technologies, 访问时间为 四月 25, 2026， </w:t>
      </w:r>
      <w:hyperlink r:id="rId33">
        <w:r w:rsidDel="00000000" w:rsidR="00000000" w:rsidRPr="00000000">
          <w:rPr>
            <w:rFonts w:ascii="Google Sans" w:cs="Google Sans" w:eastAsia="Google Sans" w:hAnsi="Google Sans"/>
            <w:color w:val="0000ee"/>
            <w:sz w:val="24"/>
            <w:szCs w:val="24"/>
            <w:u w:val="single"/>
            <w:rtl w:val="0"/>
          </w:rPr>
          <w:t xml:space="preserve">https://www.sangfor.com/blog/cloud-and-infrastructure/what-is-data-localization-a-special-focus-on-se-asia</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enacts landmark law on personal data protection: stable standing with stricter compliance - Hogan Lovells, 访问时间为 四月 25, 2026， </w:t>
      </w:r>
      <w:hyperlink r:id="rId34">
        <w:r w:rsidDel="00000000" w:rsidR="00000000" w:rsidRPr="00000000">
          <w:rPr>
            <w:rFonts w:ascii="Google Sans" w:cs="Google Sans" w:eastAsia="Google Sans" w:hAnsi="Google Sans"/>
            <w:color w:val="0000ee"/>
            <w:sz w:val="24"/>
            <w:szCs w:val="24"/>
            <w:u w:val="single"/>
            <w:rtl w:val="0"/>
          </w:rPr>
          <w:t xml:space="preserve">https://www.hoganlovells.com/en/publications/vietnam-enacts-landmark-law-on-personal-data-protection-stable-standing-with-stricter-compliance</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13/2023/ND-CP personal data protection - Legal documents of Vietnamese laws, 访问时间为 四月 25, 2026， </w:t>
      </w:r>
      <w:hyperlink r:id="rId35">
        <w:r w:rsidDel="00000000" w:rsidR="00000000" w:rsidRPr="00000000">
          <w:rPr>
            <w:rFonts w:ascii="Google Sans" w:cs="Google Sans" w:eastAsia="Google Sans" w:hAnsi="Google Sans"/>
            <w:color w:val="0000ee"/>
            <w:sz w:val="24"/>
            <w:szCs w:val="24"/>
            <w:u w:val="single"/>
            <w:rtl w:val="0"/>
          </w:rPr>
          <w:t xml:space="preserve">https://english.luatvietnam.vn/decree-no-13-2023-nd-cp-dated-april-17-2023-of-the-government-on-personal-data-protection-249791-doc1.html</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No. 13/2023/ND-CP on personal data protection - EY, 访问时间为 四月 25, 2026， </w:t>
      </w:r>
      <w:hyperlink r:id="rId36">
        <w:r w:rsidDel="00000000" w:rsidR="00000000" w:rsidRPr="00000000">
          <w:rPr>
            <w:rFonts w:ascii="Google Sans" w:cs="Google Sans" w:eastAsia="Google Sans" w:hAnsi="Google Sans"/>
            <w:color w:val="0000ee"/>
            <w:sz w:val="24"/>
            <w:szCs w:val="24"/>
            <w:u w:val="single"/>
            <w:rtl w:val="0"/>
          </w:rPr>
          <w:t xml:space="preserve">https://www.ey.com/content/dam/ey-unified-site/ey-com/en-vn/technical/tax/documents/ey-vietnam-legal-update-may-2023-en.pdf</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Southeast Asia's evolving data protection laws: Insights from Singapore, Indonesia, Vietnam &amp; Thailand - InCountry, 访问时间为 四月 25, 2026， </w:t>
      </w:r>
      <w:hyperlink r:id="rId37">
        <w:r w:rsidDel="00000000" w:rsidR="00000000" w:rsidRPr="00000000">
          <w:rPr>
            <w:rFonts w:ascii="Google Sans" w:cs="Google Sans" w:eastAsia="Google Sans" w:hAnsi="Google Sans"/>
            <w:color w:val="0000ee"/>
            <w:sz w:val="24"/>
            <w:szCs w:val="24"/>
            <w:u w:val="single"/>
            <w:rtl w:val="0"/>
          </w:rPr>
          <w:t xml:space="preserve">https://incountry.com/blog/navigating-southeast-asias-evolving-data-protection-laws-insights-from-singapore-indonesia-vietnam-thailand/</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Asia's privacy laws are maturing - Freshfields, 访问时间为 四月 25, 2026， </w:t>
      </w:r>
      <w:hyperlink r:id="rId38">
        <w:r w:rsidDel="00000000" w:rsidR="00000000" w:rsidRPr="00000000">
          <w:rPr>
            <w:rFonts w:ascii="Google Sans" w:cs="Google Sans" w:eastAsia="Google Sans" w:hAnsi="Google Sans"/>
            <w:color w:val="0000ee"/>
            <w:sz w:val="24"/>
            <w:szCs w:val="24"/>
            <w:u w:val="single"/>
            <w:rtl w:val="0"/>
          </w:rPr>
          <w:t xml:space="preserve">https://www.freshfields.com/en/our-thinking/campaigns/data-trends-2025/asias-privacy-laws-are-maturing</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PDPA: In Malaysia, Singapore, Korea and Vietnam - Ground Labs, 访问时间为 四月 25, 2026， </w:t>
      </w:r>
      <w:hyperlink r:id="rId39">
        <w:r w:rsidDel="00000000" w:rsidR="00000000" w:rsidRPr="00000000">
          <w:rPr>
            <w:rFonts w:ascii="Google Sans" w:cs="Google Sans" w:eastAsia="Google Sans" w:hAnsi="Google Sans"/>
            <w:color w:val="0000ee"/>
            <w:sz w:val="24"/>
            <w:szCs w:val="24"/>
            <w:u w:val="single"/>
            <w:rtl w:val="0"/>
          </w:rPr>
          <w:t xml:space="preserve">https://groundlabs.com/blog/pdpa-in-malaysia-singapore-korea-and-vietnam</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from the Asia-Pacific region: Navigating data protection ... - IAPP, 访问时间为 四月 25, 2026， </w:t>
      </w:r>
      <w:hyperlink r:id="rId40">
        <w:r w:rsidDel="00000000" w:rsidR="00000000" w:rsidRPr="00000000">
          <w:rPr>
            <w:rFonts w:ascii="Google Sans" w:cs="Google Sans" w:eastAsia="Google Sans" w:hAnsi="Google Sans"/>
            <w:color w:val="0000ee"/>
            <w:sz w:val="24"/>
            <w:szCs w:val="24"/>
            <w:u w:val="single"/>
            <w:rtl w:val="0"/>
          </w:rPr>
          <w:t xml:space="preserve">https://iapp.org/news/a/notes-from-the-asia-pacific-region-navigating-data-protection-developments-in-southeast-asia</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Achieving PDPL Compliance in Saudi Arabia: Expert Tips for 2026, 访问时间为 四月 25, 2026， </w:t>
      </w:r>
      <w:hyperlink r:id="rId41">
        <w:r w:rsidDel="00000000" w:rsidR="00000000" w:rsidRPr="00000000">
          <w:rPr>
            <w:rFonts w:ascii="Google Sans" w:cs="Google Sans" w:eastAsia="Google Sans" w:hAnsi="Google Sans"/>
            <w:color w:val="0000ee"/>
            <w:sz w:val="24"/>
            <w:szCs w:val="24"/>
            <w:u w:val="single"/>
            <w:rtl w:val="0"/>
          </w:rPr>
          <w:t xml:space="preserve">https://www.wattlecorp.com/pdpl-compliance-guide-saudi-arabia/</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 Jurisdictions - DataGuidance, 访问时间为 四月 25, 2026， </w:t>
      </w:r>
      <w:hyperlink r:id="rId42">
        <w:r w:rsidDel="00000000" w:rsidR="00000000" w:rsidRPr="00000000">
          <w:rPr>
            <w:rFonts w:ascii="Google Sans" w:cs="Google Sans" w:eastAsia="Google Sans" w:hAnsi="Google Sans"/>
            <w:color w:val="0000ee"/>
            <w:sz w:val="24"/>
            <w:szCs w:val="24"/>
            <w:u w:val="single"/>
            <w:rtl w:val="0"/>
          </w:rPr>
          <w:t xml:space="preserve">https://www.dataguidance.com/jurisdictions/saudi-arabia?topic=notes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comply with Saudi Arabian data protection laws - InCountry, 访问时间为 四月 25, 2026， </w:t>
      </w:r>
      <w:hyperlink r:id="rId43">
        <w:r w:rsidDel="00000000" w:rsidR="00000000" w:rsidRPr="00000000">
          <w:rPr>
            <w:rFonts w:ascii="Google Sans" w:cs="Google Sans" w:eastAsia="Google Sans" w:hAnsi="Google Sans"/>
            <w:color w:val="0000ee"/>
            <w:sz w:val="24"/>
            <w:szCs w:val="24"/>
            <w:u w:val="single"/>
            <w:rtl w:val="0"/>
          </w:rPr>
          <w:t xml:space="preserve">https://incountry.com/blog/how-to-comply-with-saudi-arabia-data-protection-laws/</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KSA Cloud First Policy, 访问时间为 四月 25, 2026， </w:t>
      </w:r>
      <w:hyperlink r:id="rId44">
        <w:r w:rsidDel="00000000" w:rsidR="00000000" w:rsidRPr="00000000">
          <w:rPr>
            <w:rFonts w:ascii="Google Sans" w:cs="Google Sans" w:eastAsia="Google Sans" w:hAnsi="Google Sans"/>
            <w:color w:val="0000ee"/>
            <w:sz w:val="24"/>
            <w:szCs w:val="24"/>
            <w:u w:val="single"/>
            <w:rtl w:val="0"/>
          </w:rPr>
          <w:t xml:space="preserve">https://www.mcit.gov.sa/sites/default/files/cloud_policy_en.pdf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First Policy of Saudi Arabia | Digital Watch Observatory, 访问时间为 四月 25, 2026， </w:t>
      </w:r>
      <w:hyperlink r:id="rId45">
        <w:r w:rsidDel="00000000" w:rsidR="00000000" w:rsidRPr="00000000">
          <w:rPr>
            <w:rFonts w:ascii="Google Sans" w:cs="Google Sans" w:eastAsia="Google Sans" w:hAnsi="Google Sans"/>
            <w:color w:val="0000ee"/>
            <w:sz w:val="24"/>
            <w:szCs w:val="24"/>
            <w:u w:val="single"/>
            <w:rtl w:val="0"/>
          </w:rPr>
          <w:t xml:space="preserve">https://dig.watch/resource/cloud-first-policy-of-saudi-arabia</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Cloud Security in the Middle East: Challenges and Best Practices - SGS, 访问时间为 四月 25, 2026， </w:t>
      </w:r>
      <w:hyperlink r:id="rId46">
        <w:r w:rsidDel="00000000" w:rsidR="00000000" w:rsidRPr="00000000">
          <w:rPr>
            <w:rFonts w:ascii="Google Sans" w:cs="Google Sans" w:eastAsia="Google Sans" w:hAnsi="Google Sans"/>
            <w:color w:val="0000ee"/>
            <w:sz w:val="24"/>
            <w:szCs w:val="24"/>
            <w:u w:val="single"/>
            <w:rtl w:val="0"/>
          </w:rPr>
          <w:t xml:space="preserve">https://www.sgs.com/en-ae/news/2025/11/strengthening-cloud-security-in-the-middle-east-challenges-and-best-practices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Cloud-First Policy &amp; Data Centres Strategy Empowering SaaS in KSA - NavigatingX, 访问时间为 四月 25, 2026， </w:t>
      </w:r>
      <w:hyperlink r:id="rId47">
        <w:r w:rsidDel="00000000" w:rsidR="00000000" w:rsidRPr="00000000">
          <w:rPr>
            <w:rFonts w:ascii="Google Sans" w:cs="Google Sans" w:eastAsia="Google Sans" w:hAnsi="Google Sans"/>
            <w:color w:val="0000ee"/>
            <w:sz w:val="24"/>
            <w:szCs w:val="24"/>
            <w:u w:val="single"/>
            <w:rtl w:val="0"/>
          </w:rPr>
          <w:t xml:space="preserve">https://navigatingx.com/blog/f/ksas-cloud-first-policy-data-centers-strategy-empowering-saas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protection laws | The Official Platform of the UAE Government, 访问时间为 四月 25, 2026， </w:t>
      </w:r>
      <w:hyperlink r:id="rId48">
        <w:r w:rsidDel="00000000" w:rsidR="00000000" w:rsidRPr="00000000">
          <w:rPr>
            <w:rFonts w:ascii="Google Sans" w:cs="Google Sans" w:eastAsia="Google Sans" w:hAnsi="Google Sans"/>
            <w:color w:val="0000ee"/>
            <w:sz w:val="24"/>
            <w:szCs w:val="24"/>
            <w:u w:val="single"/>
            <w:rtl w:val="0"/>
          </w:rPr>
          <w:t xml:space="preserve">https://u.ae/en/about-the-uae/digital-uae/data/data-protection-laws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UNECE WP.29 R155/R156: new cybersecurity regulations for vehicles - Applus+ Laboratories, 访问时间为 四月 25, 2026， </w:t>
      </w:r>
      <w:hyperlink r:id="rId49">
        <w:r w:rsidDel="00000000" w:rsidR="00000000" w:rsidRPr="00000000">
          <w:rPr>
            <w:rFonts w:ascii="Google Sans" w:cs="Google Sans" w:eastAsia="Google Sans" w:hAnsi="Google Sans"/>
            <w:color w:val="0000ee"/>
            <w:sz w:val="24"/>
            <w:szCs w:val="24"/>
            <w:u w:val="single"/>
            <w:rtl w:val="0"/>
          </w:rPr>
          <w:t xml:space="preserve">https://www.appluslaboratories.com/global/en/news/publications/new-cybersecurity-regulations-vehicles-unece-wp29</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 R155/R156 Compliance Software | Vehicle Cybersecurity &amp; CSMS Automation | Certivo, 访问时间为 四月 25, 2026， </w:t>
      </w:r>
      <w:hyperlink r:id="rId50">
        <w:r w:rsidDel="00000000" w:rsidR="00000000" w:rsidRPr="00000000">
          <w:rPr>
            <w:rFonts w:ascii="Google Sans" w:cs="Google Sans" w:eastAsia="Google Sans" w:hAnsi="Google Sans"/>
            <w:color w:val="0000ee"/>
            <w:sz w:val="24"/>
            <w:szCs w:val="24"/>
            <w:u w:val="single"/>
            <w:rtl w:val="0"/>
          </w:rPr>
          <w:t xml:space="preserve">https://www.certivo.com/frameworks/un-r155-r156-vehicle-cybersecurity-compliance</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R155/R156 Regulations: How Can TEEs Help Automotive OEMs Meet Them?, 访问时间为 四月 25, 2026， </w:t>
      </w:r>
      <w:hyperlink r:id="rId51">
        <w:r w:rsidDel="00000000" w:rsidR="00000000" w:rsidRPr="00000000">
          <w:rPr>
            <w:rFonts w:ascii="Google Sans" w:cs="Google Sans" w:eastAsia="Google Sans" w:hAnsi="Google Sans"/>
            <w:color w:val="0000ee"/>
            <w:sz w:val="24"/>
            <w:szCs w:val="24"/>
            <w:u w:val="single"/>
            <w:rtl w:val="0"/>
          </w:rPr>
          <w:t xml:space="preserve">https://www.trustonic.com/opinion/what-are-r155-r156-regulations-and-how-can-tees-help-automotive-oems-meet-them/</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UNECE Automotive Cybersecurity Compliance Requirements | Resource - UL Solutions, 访问时间为 四月 25, 2026， </w:t>
      </w:r>
      <w:hyperlink r:id="rId52">
        <w:r w:rsidDel="00000000" w:rsidR="00000000" w:rsidRPr="00000000">
          <w:rPr>
            <w:rFonts w:ascii="Google Sans" w:cs="Google Sans" w:eastAsia="Google Sans" w:hAnsi="Google Sans"/>
            <w:color w:val="0000ee"/>
            <w:sz w:val="24"/>
            <w:szCs w:val="24"/>
            <w:u w:val="single"/>
            <w:rtl w:val="0"/>
          </w:rPr>
          <w:t xml:space="preserve">https://www.ul.com/sis/resources/unece-automotive-cybersecurity-compliance-requirements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Cybersecurity Regulations - UNECE Wiki, 访问时间为 四月 25, 2026， </w:t>
      </w:r>
      <w:hyperlink r:id="rId53">
        <w:r w:rsidDel="00000000" w:rsidR="00000000" w:rsidRPr="00000000">
          <w:rPr>
            <w:rFonts w:ascii="Google Sans" w:cs="Google Sans" w:eastAsia="Google Sans" w:hAnsi="Google Sans"/>
            <w:color w:val="0000ee"/>
            <w:sz w:val="24"/>
            <w:szCs w:val="24"/>
            <w:u w:val="single"/>
            <w:rtl w:val="0"/>
          </w:rPr>
          <w:t xml:space="preserve">https://wiki.unece.org/download/attachments/154665132/W2P1%20OICA.pdf?version=1&amp;modificationDate=1643908534916&amp;api=v2</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Children's Online Privacy Protection Rule ("COPPA") - Federal Trade Commission, 访问时间为 四月 25, 2026， </w:t>
      </w:r>
      <w:hyperlink r:id="rId54">
        <w:r w:rsidDel="00000000" w:rsidR="00000000" w:rsidRPr="00000000">
          <w:rPr>
            <w:rFonts w:ascii="Google Sans" w:cs="Google Sans" w:eastAsia="Google Sans" w:hAnsi="Google Sans"/>
            <w:color w:val="0000ee"/>
            <w:sz w:val="24"/>
            <w:szCs w:val="24"/>
            <w:u w:val="single"/>
            <w:rtl w:val="0"/>
          </w:rPr>
          <w:t xml:space="preserve">https://www.ftc.gov/legal-library/browse/rules/childrens-online-privacy-protection-rule-coppa</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California Age-Appropriate Design Code Act: A new era for children's online privacy in the U.S.? - KPMG International, 访问时间为 四月 25, 2026， </w:t>
      </w:r>
      <w:hyperlink r:id="rId55">
        <w:r w:rsidDel="00000000" w:rsidR="00000000" w:rsidRPr="00000000">
          <w:rPr>
            <w:rFonts w:ascii="Google Sans" w:cs="Google Sans" w:eastAsia="Google Sans" w:hAnsi="Google Sans"/>
            <w:color w:val="0000ee"/>
            <w:sz w:val="24"/>
            <w:szCs w:val="24"/>
            <w:u w:val="single"/>
            <w:rtl w:val="0"/>
          </w:rPr>
          <w:t xml:space="preserve">https://kpmg.com/kpmg-us/content/dam/kpmg/pdf/2023/are-the-kids-alright.pdf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Age-Appropriate Design Code Is Not Child's Play - Five Practical Tips to Comply and Protect Kids' Privacy - Troutman Pepper Locke, 访问时间为 四月 25, 2026， </w:t>
      </w:r>
      <w:hyperlink r:id="rId56">
        <w:r w:rsidDel="00000000" w:rsidR="00000000" w:rsidRPr="00000000">
          <w:rPr>
            <w:rFonts w:ascii="Google Sans" w:cs="Google Sans" w:eastAsia="Google Sans" w:hAnsi="Google Sans"/>
            <w:color w:val="0000ee"/>
            <w:sz w:val="24"/>
            <w:szCs w:val="24"/>
            <w:u w:val="single"/>
            <w:rtl w:val="0"/>
          </w:rPr>
          <w:t xml:space="preserve">https://www.troutman.com/insights/california-concentrates-on-childrens-privacy/</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Key Considerations for Implementing the California Age-Appropriate Design Code, 访问时间为 四月 25, 2026， </w:t>
      </w:r>
      <w:hyperlink r:id="rId57">
        <w:r w:rsidDel="00000000" w:rsidR="00000000" w:rsidRPr="00000000">
          <w:rPr>
            <w:rFonts w:ascii="Google Sans" w:cs="Google Sans" w:eastAsia="Google Sans" w:hAnsi="Google Sans"/>
            <w:color w:val="0000ee"/>
            <w:sz w:val="24"/>
            <w:szCs w:val="24"/>
            <w:u w:val="single"/>
            <w:rtl w:val="0"/>
          </w:rPr>
          <w:t xml:space="preserve">https://perkinscoie.com/insights/update/four-key-considerations-implementing-california-age-appropriate-design-code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ABCs of the 2025 Privacy Playground: Age Assurance, Bots, and COPPA, 访问时间为 四月 25, 2026， </w:t>
      </w:r>
      <w:hyperlink r:id="rId58">
        <w:r w:rsidDel="00000000" w:rsidR="00000000" w:rsidRPr="00000000">
          <w:rPr>
            <w:rFonts w:ascii="Google Sans" w:cs="Google Sans" w:eastAsia="Google Sans" w:hAnsi="Google Sans"/>
            <w:color w:val="0000ee"/>
            <w:sz w:val="24"/>
            <w:szCs w:val="24"/>
            <w:u w:val="single"/>
            <w:rtl w:val="0"/>
          </w:rPr>
          <w:t xml:space="preserve">https://www.esrb.org/privacy-certified-blog/the-abcs-of-the-2025-privacy-playground-age-assurance-bots-and-coppa/</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Guarding the Gates: The Digital Markets Act and Lessons in Ex Ante Regulation | Charting Geoeconomics | CSIS, 访问时间为 四月 25, 2026， </w:t>
      </w:r>
      <w:hyperlink r:id="rId59">
        <w:r w:rsidDel="00000000" w:rsidR="00000000" w:rsidRPr="00000000">
          <w:rPr>
            <w:rFonts w:ascii="Google Sans" w:cs="Google Sans" w:eastAsia="Google Sans" w:hAnsi="Google Sans"/>
            <w:color w:val="0000ee"/>
            <w:sz w:val="24"/>
            <w:szCs w:val="24"/>
            <w:u w:val="single"/>
            <w:rtl w:val="0"/>
          </w:rPr>
          <w:t xml:space="preserve">https://www.csis.org/blogs/charting-geoeconomics/guarding-gates-digital-markets-act-and-lessons-ex-ante-regulation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Markets Act - Wikipedia, 访问时间为 四月 25, 2026， </w:t>
      </w:r>
      <w:hyperlink r:id="rId60">
        <w:r w:rsidDel="00000000" w:rsidR="00000000" w:rsidRPr="00000000">
          <w:rPr>
            <w:rFonts w:ascii="Google Sans" w:cs="Google Sans" w:eastAsia="Google Sans" w:hAnsi="Google Sans"/>
            <w:color w:val="0000ee"/>
            <w:sz w:val="24"/>
            <w:szCs w:val="24"/>
            <w:u w:val="single"/>
            <w:rtl w:val="0"/>
          </w:rPr>
          <w:t xml:space="preserve">https://en.wikipedia.org/wiki/Digital_Markets_Act</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EU's Digital Markets Act and Digital Services Act - German Marshall Fund, 访问时间为 四月 25, 2026， </w:t>
      </w:r>
      <w:hyperlink r:id="rId61">
        <w:r w:rsidDel="00000000" w:rsidR="00000000" w:rsidRPr="00000000">
          <w:rPr>
            <w:rFonts w:ascii="Google Sans" w:cs="Google Sans" w:eastAsia="Google Sans" w:hAnsi="Google Sans"/>
            <w:color w:val="0000ee"/>
            <w:sz w:val="24"/>
            <w:szCs w:val="24"/>
            <w:u w:val="single"/>
            <w:rtl w:val="0"/>
          </w:rPr>
          <w:t xml:space="preserve">https://www.gmfus.org/news/eus-digital-markets-act-and-digital-services-act</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Services Act - Shaping Europe's digital future - European Union, 访问时间为 四月 25, 2026， </w:t>
      </w:r>
      <w:hyperlink r:id="rId62">
        <w:r w:rsidDel="00000000" w:rsidR="00000000" w:rsidRPr="00000000">
          <w:rPr>
            <w:rFonts w:ascii="Google Sans" w:cs="Google Sans" w:eastAsia="Google Sans" w:hAnsi="Google Sans"/>
            <w:color w:val="0000ee"/>
            <w:sz w:val="24"/>
            <w:szCs w:val="24"/>
            <w:u w:val="single"/>
            <w:rtl w:val="0"/>
          </w:rPr>
          <w:t xml:space="preserve">https://digital-strategy.ec.europa.eu/en/policies/digital-services-act</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年度回顾｜2025年中国智能制造企业出海合规挑战回顾 - 中伦律师事务所, 访问时间为 四月 25, 2026， </w:t>
      </w:r>
      <w:hyperlink r:id="rId63">
        <w:r w:rsidDel="00000000" w:rsidR="00000000" w:rsidRPr="00000000">
          <w:rPr>
            <w:rFonts w:ascii="Google Sans" w:cs="Google Sans" w:eastAsia="Google Sans" w:hAnsi="Google Sans"/>
            <w:color w:val="0000ee"/>
            <w:sz w:val="24"/>
            <w:szCs w:val="24"/>
            <w:u w:val="single"/>
            <w:rtl w:val="0"/>
          </w:rPr>
          <w:t xml:space="preserve">https://www.zhonglun.com/research/articles/55481.html</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Omnibus Directive Explained: Your Complete Guide to E-commerce Compliance on Shopify - Netkodo, 访问时间为 四月 25, 2026， </w:t>
      </w:r>
      <w:hyperlink r:id="rId64">
        <w:r w:rsidDel="00000000" w:rsidR="00000000" w:rsidRPr="00000000">
          <w:rPr>
            <w:rFonts w:ascii="Google Sans" w:cs="Google Sans" w:eastAsia="Google Sans" w:hAnsi="Google Sans"/>
            <w:color w:val="0000ee"/>
            <w:sz w:val="24"/>
            <w:szCs w:val="24"/>
            <w:u w:val="single"/>
            <w:rtl w:val="0"/>
          </w:rPr>
          <w:t xml:space="preserve">https://netkodo.com/blog/the-eu-omnibus-directive-explained-your-complete-guide-to-e-commerce-compliance-on-shopify</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Omnibus Directive – the new way to enhance protection of EU consumers | EY - Global, 访问时间为 四月 25, 2026， </w:t>
      </w:r>
      <w:hyperlink r:id="rId65">
        <w:r w:rsidDel="00000000" w:rsidR="00000000" w:rsidRPr="00000000">
          <w:rPr>
            <w:rFonts w:ascii="Google Sans" w:cs="Google Sans" w:eastAsia="Google Sans" w:hAnsi="Google Sans"/>
            <w:color w:val="0000ee"/>
            <w:sz w:val="24"/>
            <w:szCs w:val="24"/>
            <w:u w:val="single"/>
            <w:rtl w:val="0"/>
          </w:rPr>
          <w:t xml:space="preserve">https://www.ey.com/en_pl/insights/law/omnibus-directive</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E-Commerce Law - Legal Guide 2026 | Dudkowiak &amp; Putyra, 访问时间为 四月 25, 2026， </w:t>
      </w:r>
      <w:hyperlink r:id="rId66">
        <w:r w:rsidDel="00000000" w:rsidR="00000000" w:rsidRPr="00000000">
          <w:rPr>
            <w:rFonts w:ascii="Google Sans" w:cs="Google Sans" w:eastAsia="Google Sans" w:hAnsi="Google Sans"/>
            <w:color w:val="0000ee"/>
            <w:sz w:val="24"/>
            <w:szCs w:val="24"/>
            <w:u w:val="single"/>
            <w:rtl w:val="0"/>
          </w:rPr>
          <w:t xml:space="preserve">https://www.dudkowiak.com/e-commerce-law-in-poland/e-commerce-regulation-in-europe/</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Informing Businesses about the INFORM Consumers Act - Federal Trade Commission, 访问时间为 四月 25, 2026， </w:t>
      </w:r>
      <w:hyperlink r:id="rId67">
        <w:r w:rsidDel="00000000" w:rsidR="00000000" w:rsidRPr="00000000">
          <w:rPr>
            <w:rFonts w:ascii="Google Sans" w:cs="Google Sans" w:eastAsia="Google Sans" w:hAnsi="Google Sans"/>
            <w:color w:val="0000ee"/>
            <w:sz w:val="24"/>
            <w:szCs w:val="24"/>
            <w:u w:val="single"/>
            <w:rtl w:val="0"/>
          </w:rPr>
          <w:t xml:space="preserve">https://www.ftc.gov/business-guidance/resources/INFORMAct</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Policy 2.0 (2025-30), 访问时间为 四月 25, 2026， </w:t>
      </w:r>
      <w:hyperlink r:id="rId68">
        <w:r w:rsidDel="00000000" w:rsidR="00000000" w:rsidRPr="00000000">
          <w:rPr>
            <w:rFonts w:ascii="Google Sans" w:cs="Google Sans" w:eastAsia="Google Sans" w:hAnsi="Google Sans"/>
            <w:color w:val="0000ee"/>
            <w:sz w:val="24"/>
            <w:szCs w:val="24"/>
            <w:u w:val="single"/>
            <w:rtl w:val="0"/>
          </w:rPr>
          <w:t xml:space="preserve">https://www.commerce.gov.pk/wp-content/uploads/2025/06/draft-e-Commerce-Policy-2025-30-for-stakeholders.pdf</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Protection and E-Commerce | International Institute for Sustainable Development, 访问时间为 四月 25, 2026， </w:t>
      </w:r>
      <w:hyperlink r:id="rId69">
        <w:r w:rsidDel="00000000" w:rsidR="00000000" w:rsidRPr="00000000">
          <w:rPr>
            <w:rFonts w:ascii="Google Sans" w:cs="Google Sans" w:eastAsia="Google Sans" w:hAnsi="Google Sans"/>
            <w:color w:val="0000ee"/>
            <w:sz w:val="24"/>
            <w:szCs w:val="24"/>
            <w:u w:val="single"/>
            <w:rtl w:val="0"/>
          </w:rPr>
          <w:t xml:space="preserve">https://www.iisd.org/publications/report/consumer-protection-e-commerce</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ASEAN Guidelines on Consumer Protection in E-Commerce, 访问时间为 四月 25, 2026， </w:t>
      </w:r>
      <w:hyperlink r:id="rId70">
        <w:r w:rsidDel="00000000" w:rsidR="00000000" w:rsidRPr="00000000">
          <w:rPr>
            <w:rFonts w:ascii="Google Sans" w:cs="Google Sans" w:eastAsia="Google Sans" w:hAnsi="Google Sans"/>
            <w:color w:val="0000ee"/>
            <w:sz w:val="24"/>
            <w:szCs w:val="24"/>
            <w:u w:val="single"/>
            <w:rtl w:val="0"/>
          </w:rPr>
          <w:t xml:space="preserve">https://asean.org/wp-content/uploads/2023/03/ASEAN-Guidelines-on-Consumer-Impact-E-COMMERCE_V2-1.pdf</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introduces two major e-commerce regulations - Rouse, 访问时间为 四月 25, 2026， </w:t>
      </w:r>
      <w:hyperlink r:id="rId71">
        <w:r w:rsidDel="00000000" w:rsidR="00000000" w:rsidRPr="00000000">
          <w:rPr>
            <w:rFonts w:ascii="Google Sans" w:cs="Google Sans" w:eastAsia="Google Sans" w:hAnsi="Google Sans"/>
            <w:color w:val="0000ee"/>
            <w:sz w:val="24"/>
            <w:szCs w:val="24"/>
            <w:u w:val="single"/>
            <w:rtl w:val="0"/>
          </w:rPr>
          <w:t xml:space="preserve">https://rouse.com/insights/news/2025/vietnam-introduces-two-major-e-commerce-regulations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Amendments on Consumer Protection and E-Commerce Legislations - IP Tech Legal, 访问时间为 四月 25, 2026， </w:t>
      </w:r>
      <w:hyperlink r:id="rId72">
        <w:r w:rsidDel="00000000" w:rsidR="00000000" w:rsidRPr="00000000">
          <w:rPr>
            <w:rFonts w:ascii="Google Sans" w:cs="Google Sans" w:eastAsia="Google Sans" w:hAnsi="Google Sans"/>
            <w:color w:val="0000ee"/>
            <w:sz w:val="24"/>
            <w:szCs w:val="24"/>
            <w:u w:val="single"/>
            <w:rtl w:val="0"/>
          </w:rPr>
          <w:t xml:space="preserve">https://www.ozdagistanliekici.com/novel-amendments-on-consumer-protection-and-e-commerce-legislations/</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sets clear rules for Content Creators and Influencers: Everything you need to know | World News - The Times of India, 访问时间为 四月 25, 2026， </w:t>
      </w:r>
      <w:hyperlink r:id="rId73">
        <w:r w:rsidDel="00000000" w:rsidR="00000000" w:rsidRPr="00000000">
          <w:rPr>
            <w:rFonts w:ascii="Google Sans" w:cs="Google Sans" w:eastAsia="Google Sans" w:hAnsi="Google Sans"/>
            <w:color w:val="0000ee"/>
            <w:sz w:val="24"/>
            <w:szCs w:val="24"/>
            <w:u w:val="single"/>
            <w:rtl w:val="0"/>
          </w:rPr>
          <w:t xml:space="preserve">https://timesofindia.indiatimes.com/world/middle-east/saudi-arabia-sets-clear-rules-for-content-creators-and-influencers-everything-you-need-to-know/articleshow/124232340.cms</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sets new guidelines for content creators, clarifies violations - Gulf News, 访问时间为 四月 25, 2026， </w:t>
      </w:r>
      <w:hyperlink r:id="rId74">
        <w:r w:rsidDel="00000000" w:rsidR="00000000" w:rsidRPr="00000000">
          <w:rPr>
            <w:rFonts w:ascii="Google Sans" w:cs="Google Sans" w:eastAsia="Google Sans" w:hAnsi="Google Sans"/>
            <w:color w:val="0000ee"/>
            <w:sz w:val="24"/>
            <w:szCs w:val="24"/>
            <w:u w:val="single"/>
            <w:rtl w:val="0"/>
          </w:rPr>
          <w:t xml:space="preserve">https://gulfnews.com/world/gulf/saudi/saudi-arabia-sets-new-guidelines-for-content-creators-clarifies-violations-1.500288814</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regulation | The Official Platform of the UAE Government, 访问时间为 四月 25, 2026， </w:t>
      </w:r>
      <w:hyperlink r:id="rId75">
        <w:r w:rsidDel="00000000" w:rsidR="00000000" w:rsidRPr="00000000">
          <w:rPr>
            <w:rFonts w:ascii="Google Sans" w:cs="Google Sans" w:eastAsia="Google Sans" w:hAnsi="Google Sans"/>
            <w:color w:val="0000ee"/>
            <w:sz w:val="24"/>
            <w:szCs w:val="24"/>
            <w:u w:val="single"/>
            <w:rtl w:val="0"/>
          </w:rPr>
          <w:t xml:space="preserve">https://u.ae/en/media/media-in-the-uae/media-regulation</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Considerations for App Developers in the Middle East | Al Tamimi &amp; Company, 访问时间为 四月 25, 2026， </w:t>
      </w:r>
      <w:hyperlink r:id="rId76">
        <w:r w:rsidDel="00000000" w:rsidR="00000000" w:rsidRPr="00000000">
          <w:rPr>
            <w:rFonts w:ascii="Google Sans" w:cs="Google Sans" w:eastAsia="Google Sans" w:hAnsi="Google Sans"/>
            <w:color w:val="0000ee"/>
            <w:sz w:val="24"/>
            <w:szCs w:val="24"/>
            <w:u w:val="single"/>
            <w:rtl w:val="0"/>
          </w:rPr>
          <w:t xml:space="preserve">https://www.tamimi.com/law-update-articles/arrested-development-legal-considerations-for-app-developers-in-the-middle-east/</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 Mark Certification for Products Imported or Sold in Gulf Member States - Intertek, 访问时间为 四月 25, 2026， </w:t>
      </w:r>
      <w:hyperlink r:id="rId77">
        <w:r w:rsidDel="00000000" w:rsidR="00000000" w:rsidRPr="00000000">
          <w:rPr>
            <w:rFonts w:ascii="Google Sans" w:cs="Google Sans" w:eastAsia="Google Sans" w:hAnsi="Google Sans"/>
            <w:color w:val="0000ee"/>
            <w:sz w:val="24"/>
            <w:szCs w:val="24"/>
            <w:u w:val="single"/>
            <w:rtl w:val="0"/>
          </w:rPr>
          <w:t xml:space="preserve">https://www.intertek.com/product-certification-marks/gmark/</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Gulf Mark (G-Mark) for Products Sold in GCC Member States - QIMA, 访问时间为 四月 25, 2026， </w:t>
      </w:r>
      <w:hyperlink r:id="rId78">
        <w:r w:rsidDel="00000000" w:rsidR="00000000" w:rsidRPr="00000000">
          <w:rPr>
            <w:rFonts w:ascii="Google Sans" w:cs="Google Sans" w:eastAsia="Google Sans" w:hAnsi="Google Sans"/>
            <w:color w:val="0000ee"/>
            <w:sz w:val="24"/>
            <w:szCs w:val="24"/>
            <w:u w:val="single"/>
            <w:rtl w:val="0"/>
          </w:rPr>
          <w:t xml:space="preserve">https://www.qima.vn/gmark-certification</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G-mark (Gulf Conformity Mark) Product Certification - Nemko, 访问时间为 四月 25, 2026， </w:t>
      </w:r>
      <w:hyperlink r:id="rId79">
        <w:r w:rsidDel="00000000" w:rsidR="00000000" w:rsidRPr="00000000">
          <w:rPr>
            <w:rFonts w:ascii="Google Sans" w:cs="Google Sans" w:eastAsia="Google Sans" w:hAnsi="Google Sans"/>
            <w:color w:val="0000ee"/>
            <w:sz w:val="24"/>
            <w:szCs w:val="24"/>
            <w:u w:val="single"/>
            <w:rtl w:val="0"/>
          </w:rPr>
          <w:t xml:space="preserve">https://www.nemko.com/product-certification/gulf-conformity-mark-g-mark</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Gulf – Conformity Assessment Programs (Gmark) - SGS, 访问时间为 四月 25, 2026， </w:t>
      </w:r>
      <w:hyperlink r:id="rId80">
        <w:r w:rsidDel="00000000" w:rsidR="00000000" w:rsidRPr="00000000">
          <w:rPr>
            <w:rFonts w:ascii="Google Sans" w:cs="Google Sans" w:eastAsia="Google Sans" w:hAnsi="Google Sans"/>
            <w:color w:val="0000ee"/>
            <w:sz w:val="24"/>
            <w:szCs w:val="24"/>
            <w:u w:val="single"/>
            <w:rtl w:val="0"/>
          </w:rPr>
          <w:t xml:space="preserve">https://www.sgs.com/en-us/services/gulf-product-conformity-assessment-pca</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Gulf Conformity Mark (G-Mark) Scheme - Geo Chem Middle East, 访问时间为 四月 25, 2026， </w:t>
      </w:r>
      <w:hyperlink r:id="rId81">
        <w:r w:rsidDel="00000000" w:rsidR="00000000" w:rsidRPr="00000000">
          <w:rPr>
            <w:rFonts w:ascii="Google Sans" w:cs="Google Sans" w:eastAsia="Google Sans" w:hAnsi="Google Sans"/>
            <w:color w:val="0000ee"/>
            <w:sz w:val="24"/>
            <w:szCs w:val="24"/>
            <w:u w:val="single"/>
            <w:rtl w:val="0"/>
          </w:rPr>
          <w:t xml:space="preserve">https://gccertifications.com/gsogmark/available_information</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Testing, Inspection and Certification - International Trade Administration, 访问时间为 四月 25, 2026， </w:t>
      </w:r>
      <w:hyperlink r:id="rId82">
        <w:r w:rsidDel="00000000" w:rsidR="00000000" w:rsidRPr="00000000">
          <w:rPr>
            <w:rFonts w:ascii="Google Sans" w:cs="Google Sans" w:eastAsia="Google Sans" w:hAnsi="Google Sans"/>
            <w:color w:val="0000ee"/>
            <w:sz w:val="24"/>
            <w:szCs w:val="24"/>
            <w:u w:val="single"/>
            <w:rtl w:val="0"/>
          </w:rPr>
          <w:t xml:space="preserve">https://www.trade.gov/saudi-arabia-testing-inspection-and-certification</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SASO Certification for Exports to Saudi Arabia - TÜV SÜD, 访问时间为 四月 25, 2026， </w:t>
      </w:r>
      <w:hyperlink r:id="rId83">
        <w:r w:rsidDel="00000000" w:rsidR="00000000" w:rsidRPr="00000000">
          <w:rPr>
            <w:rFonts w:ascii="Google Sans" w:cs="Google Sans" w:eastAsia="Google Sans" w:hAnsi="Google Sans"/>
            <w:color w:val="0000ee"/>
            <w:sz w:val="24"/>
            <w:szCs w:val="24"/>
            <w:u w:val="single"/>
            <w:rtl w:val="0"/>
          </w:rPr>
          <w:t xml:space="preserve">https://www.tuvsud.com/en-ae/industries/consumer-products-and-retail/textile-and-clothing/saudi-standards-metrology-and-quality-organisation</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Certificate of Conformity for Exports to Saudi Arabia - QIMA, 访问时间为 四月 25, 2026， </w:t>
      </w:r>
      <w:hyperlink r:id="rId84">
        <w:r w:rsidDel="00000000" w:rsidR="00000000" w:rsidRPr="00000000">
          <w:rPr>
            <w:rFonts w:ascii="Google Sans" w:cs="Google Sans" w:eastAsia="Google Sans" w:hAnsi="Google Sans"/>
            <w:color w:val="0000ee"/>
            <w:sz w:val="24"/>
            <w:szCs w:val="24"/>
            <w:u w:val="single"/>
            <w:rtl w:val="0"/>
          </w:rPr>
          <w:t xml:space="preserve">https://www.qima.com/consumer-products/certifications/saso-conformity</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SABER Certificate: Requirements for Saudi Customs Clearance - RadhiAwad, 访问时间为 四月 25, 2026， </w:t>
      </w:r>
      <w:hyperlink r:id="rId85">
        <w:r w:rsidDel="00000000" w:rsidR="00000000" w:rsidRPr="00000000">
          <w:rPr>
            <w:rFonts w:ascii="Google Sans" w:cs="Google Sans" w:eastAsia="Google Sans" w:hAnsi="Google Sans"/>
            <w:color w:val="0000ee"/>
            <w:sz w:val="24"/>
            <w:szCs w:val="24"/>
            <w:u w:val="single"/>
            <w:rtl w:val="0"/>
          </w:rPr>
          <w:t xml:space="preserve">https://radhiawad.com.sa/english/saber-certificate-requirements-for-saudi-customs-clearance/</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(SASO) - Update Requirements for Smartphone Chargers and Electronic Devices - CSA Group, 访问时间为 四月 25, 2026， </w:t>
      </w:r>
      <w:hyperlink r:id="rId86">
        <w:r w:rsidDel="00000000" w:rsidR="00000000" w:rsidRPr="00000000">
          <w:rPr>
            <w:rFonts w:ascii="Google Sans" w:cs="Google Sans" w:eastAsia="Google Sans" w:hAnsi="Google Sans"/>
            <w:color w:val="0000ee"/>
            <w:sz w:val="24"/>
            <w:szCs w:val="24"/>
            <w:u w:val="single"/>
            <w:rtl w:val="0"/>
          </w:rPr>
          <w:t xml:space="preserve">https://www.csagroup.org/global-certification-regulatory-update/saudi-arabia-saso-update-requirements-for-smartphone-chargers-and-electronic-devices/</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HS Codes Now Regulated Under SABER - Cotecna Middle East, 访问时间为 四月 25, 2026， </w:t>
      </w:r>
      <w:hyperlink r:id="rId87">
        <w:r w:rsidDel="00000000" w:rsidR="00000000" w:rsidRPr="00000000">
          <w:rPr>
            <w:rFonts w:ascii="Google Sans" w:cs="Google Sans" w:eastAsia="Google Sans" w:hAnsi="Google Sans"/>
            <w:color w:val="0000ee"/>
            <w:sz w:val="24"/>
            <w:szCs w:val="24"/>
            <w:u w:val="single"/>
            <w:rtl w:val="0"/>
          </w:rPr>
          <w:t xml:space="preserve">https://middle-east.cotecna.com/en/media/news/new-hs-codes-now-regulated-under-saber</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for Importing Telecoms Devices into Saudi Arabia - XDS Solutions, 访问时间为 四月 25, 2026， </w:t>
      </w:r>
      <w:hyperlink r:id="rId88">
        <w:r w:rsidDel="00000000" w:rsidR="00000000" w:rsidRPr="00000000">
          <w:rPr>
            <w:rFonts w:ascii="Google Sans" w:cs="Google Sans" w:eastAsia="Google Sans" w:hAnsi="Google Sans"/>
            <w:color w:val="0000ee"/>
            <w:sz w:val="24"/>
            <w:szCs w:val="24"/>
            <w:u w:val="single"/>
            <w:rtl w:val="0"/>
          </w:rPr>
          <w:t xml:space="preserve">https://xds-solutions.com/certification/saudi-arabia/saber-certification/telecommunications-devices?hscode=851762900008</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Indonesia: Mandatory SNI for audio, video, and similar electronic devices, Regulation No. 75 of 2024 - TÜV SÜD, 访问时间为 四月 25, 2026， </w:t>
      </w:r>
      <w:hyperlink r:id="rId89">
        <w:r w:rsidDel="00000000" w:rsidR="00000000" w:rsidRPr="00000000">
          <w:rPr>
            <w:rFonts w:ascii="Google Sans" w:cs="Google Sans" w:eastAsia="Google Sans" w:hAnsi="Google Sans"/>
            <w:color w:val="0000ee"/>
            <w:sz w:val="24"/>
            <w:szCs w:val="24"/>
            <w:u w:val="single"/>
            <w:rtl w:val="0"/>
          </w:rPr>
          <w:t xml:space="preserve">https://www.tuvsud.com/en/knowledge-hub/technical-updates/consumer-products-and-retail-essentials/indonesian-ministry-of-industry-issued-regulation-for-electronic-devices</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SNI Certification for Electronics in Indonesia: The 2026 Importer's Guide, 访问时间为 四月 25, 2026， </w:t>
      </w:r>
      <w:hyperlink r:id="rId90">
        <w:r w:rsidDel="00000000" w:rsidR="00000000" w:rsidRPr="00000000">
          <w:rPr>
            <w:rFonts w:ascii="Google Sans" w:cs="Google Sans" w:eastAsia="Google Sans" w:hAnsi="Google Sans"/>
            <w:color w:val="0000ee"/>
            <w:sz w:val="24"/>
            <w:szCs w:val="24"/>
            <w:u w:val="single"/>
            <w:rtl w:val="0"/>
          </w:rPr>
          <w:t xml:space="preserve">https://businesshubasia.com/sni-certification-electronics-2026/</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Compliance in Vietnam, 访问时间为 四月 25, 2026， </w:t>
      </w:r>
      <w:hyperlink r:id="rId91">
        <w:r w:rsidDel="00000000" w:rsidR="00000000" w:rsidRPr="00000000">
          <w:rPr>
            <w:rFonts w:ascii="Google Sans" w:cs="Google Sans" w:eastAsia="Google Sans" w:hAnsi="Google Sans"/>
            <w:color w:val="0000ee"/>
            <w:sz w:val="24"/>
            <w:szCs w:val="24"/>
            <w:u w:val="single"/>
            <w:rtl w:val="0"/>
          </w:rPr>
          <w:t xml:space="preserve">https://www.productcomplianceinstitute.com/vietnam/</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 COMSUMER PROTECTION (SAFETY REGULATION OF ELECTRICAL AND ELECTRONIC EQUIPMENT) REGISTRATION SCHEME Information Booklet - TCVN, 访问时间为 四月 25, 2026， </w:t>
      </w:r>
      <w:hyperlink r:id="rId92">
        <w:r w:rsidDel="00000000" w:rsidR="00000000" w:rsidRPr="00000000">
          <w:rPr>
            <w:rFonts w:ascii="Google Sans" w:cs="Google Sans" w:eastAsia="Google Sans" w:hAnsi="Google Sans"/>
            <w:color w:val="0000ee"/>
            <w:sz w:val="24"/>
            <w:szCs w:val="24"/>
            <w:u w:val="single"/>
            <w:rtl w:val="0"/>
          </w:rPr>
          <w:t xml:space="preserve">https://tcvn.gov.vn/wp-content/uploads/2022/11/Information-Booklet_VN-Version-2-As-of-7-November-2022.pdf</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 comsumer protection (safety regulation of electrical and electronic equipment) registration scheme - Asean, 访问时间为 四月 25, 2026， </w:t>
      </w:r>
      <w:hyperlink r:id="rId93">
        <w:r w:rsidDel="00000000" w:rsidR="00000000" w:rsidRPr="00000000">
          <w:rPr>
            <w:rFonts w:ascii="Google Sans" w:cs="Google Sans" w:eastAsia="Google Sans" w:hAnsi="Google Sans"/>
            <w:color w:val="0000ee"/>
            <w:sz w:val="24"/>
            <w:szCs w:val="24"/>
            <w:u w:val="single"/>
            <w:rtl w:val="0"/>
          </w:rPr>
          <w:t xml:space="preserve">https://www.asean.org/wp-content/uploads/images/archive/SnC/Information%20Booklet_VN.pdf</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regulation on CR Safety and EMC approval for home appliances - ExtendMax, 访问时间为 四月 25, 2026， </w:t>
      </w:r>
      <w:hyperlink r:id="rId94">
        <w:r w:rsidDel="00000000" w:rsidR="00000000" w:rsidRPr="00000000">
          <w:rPr>
            <w:rFonts w:ascii="Google Sans" w:cs="Google Sans" w:eastAsia="Google Sans" w:hAnsi="Google Sans"/>
            <w:color w:val="0000ee"/>
            <w:sz w:val="24"/>
            <w:szCs w:val="24"/>
            <w:u w:val="single"/>
            <w:rtl w:val="0"/>
          </w:rPr>
          <w:t xml:space="preserve">https://extendmax.vn/new-regulation-on-cr-safety-and-emc-approval-for-home-appliances</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New Battery Regulation (EU) 2023/1542 | TÜV Rheinland, 访问时间为 四月 25, 2026， </w:t>
      </w:r>
      <w:hyperlink r:id="rId95">
        <w:r w:rsidDel="00000000" w:rsidR="00000000" w:rsidRPr="00000000">
          <w:rPr>
            <w:rFonts w:ascii="Google Sans" w:cs="Google Sans" w:eastAsia="Google Sans" w:hAnsi="Google Sans"/>
            <w:color w:val="0000ee"/>
            <w:sz w:val="24"/>
            <w:szCs w:val="24"/>
            <w:u w:val="single"/>
            <w:rtl w:val="0"/>
          </w:rPr>
          <w:t xml:space="preserve">https://www.tuv.com/landingpage/en/eu-new-battery-regulation-eu-2023-1542/</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Battery Regulation: What You Need To Know - UL Solutions, 访问时间为 四月 25, 2026， </w:t>
      </w:r>
      <w:hyperlink r:id="rId96">
        <w:r w:rsidDel="00000000" w:rsidR="00000000" w:rsidRPr="00000000">
          <w:rPr>
            <w:rFonts w:ascii="Google Sans" w:cs="Google Sans" w:eastAsia="Google Sans" w:hAnsi="Google Sans"/>
            <w:color w:val="0000ee"/>
            <w:sz w:val="24"/>
            <w:szCs w:val="24"/>
            <w:u w:val="single"/>
            <w:rtl w:val="0"/>
          </w:rPr>
          <w:t xml:space="preserve">https://www.ul.com/insights/eu-battery-regulation-what-you-need-know</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EU's new battery regulation - VDE, 访问时间为 四月 25, 2026， </w:t>
      </w:r>
      <w:hyperlink r:id="rId97">
        <w:r w:rsidDel="00000000" w:rsidR="00000000" w:rsidRPr="00000000">
          <w:rPr>
            <w:rFonts w:ascii="Google Sans" w:cs="Google Sans" w:eastAsia="Google Sans" w:hAnsi="Google Sans"/>
            <w:color w:val="0000ee"/>
            <w:sz w:val="24"/>
            <w:szCs w:val="24"/>
            <w:u w:val="single"/>
            <w:rtl w:val="0"/>
          </w:rPr>
          <w:t xml:space="preserve">https://www.vde.com/topics-en/energy/dienstleistungen</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Batteries Regulation Brief Overview 31 August 2023, 访问时间为 四月 25, 2026， </w:t>
      </w:r>
      <w:hyperlink r:id="rId98">
        <w:r w:rsidDel="00000000" w:rsidR="00000000" w:rsidRPr="00000000">
          <w:rPr>
            <w:rFonts w:ascii="Google Sans" w:cs="Google Sans" w:eastAsia="Google Sans" w:hAnsi="Google Sans"/>
            <w:color w:val="0000ee"/>
            <w:sz w:val="24"/>
            <w:szCs w:val="24"/>
            <w:u w:val="single"/>
            <w:rtl w:val="0"/>
          </w:rPr>
          <w:t xml:space="preserve">https://bepassociation.eu/batteries-regulation-brief-overview/</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VAT e-Commerce - European Union, 访问时间为 四月 25, 2026， </w:t>
      </w:r>
      <w:hyperlink r:id="rId99">
        <w:r w:rsidDel="00000000" w:rsidR="00000000" w:rsidRPr="00000000">
          <w:rPr>
            <w:rFonts w:ascii="Google Sans" w:cs="Google Sans" w:eastAsia="Google Sans" w:hAnsi="Google Sans"/>
            <w:color w:val="0000ee"/>
            <w:sz w:val="24"/>
            <w:szCs w:val="24"/>
            <w:u w:val="single"/>
            <w:rtl w:val="0"/>
          </w:rPr>
          <w:t xml:space="preserve">https://vat-one-stop-shop.ec.europa.eu/index_en</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VAT rules for e-commerce - Marosa, 访问时间为 四月 25, 2026， </w:t>
      </w:r>
      <w:hyperlink r:id="rId100">
        <w:r w:rsidDel="00000000" w:rsidR="00000000" w:rsidRPr="00000000">
          <w:rPr>
            <w:rFonts w:ascii="Google Sans" w:cs="Google Sans" w:eastAsia="Google Sans" w:hAnsi="Google Sans"/>
            <w:color w:val="0000ee"/>
            <w:sz w:val="24"/>
            <w:szCs w:val="24"/>
            <w:u w:val="single"/>
            <w:rtl w:val="0"/>
          </w:rPr>
          <w:t xml:space="preserve">https://marosavat.com/resources/vat-rules-for-e-commerce</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The EU VAT e-Commerce Package - Sovos, 访问时间为 四月 25, 2026， </w:t>
      </w:r>
      <w:hyperlink r:id="rId101">
        <w:r w:rsidDel="00000000" w:rsidR="00000000" w:rsidRPr="00000000">
          <w:rPr>
            <w:rFonts w:ascii="Google Sans" w:cs="Google Sans" w:eastAsia="Google Sans" w:hAnsi="Google Sans"/>
            <w:color w:val="0000ee"/>
            <w:sz w:val="24"/>
            <w:szCs w:val="24"/>
            <w:u w:val="single"/>
            <w:rtl w:val="0"/>
          </w:rPr>
          <w:t xml:space="preserve">https://sovos.com/guides/eu-vat-e-commerce-package-guide/</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US sellers need to know about EU IOSS intermediaries - Avalara, 访问时间为 四月 25, 2026， </w:t>
      </w:r>
      <w:hyperlink r:id="rId102">
        <w:r w:rsidDel="00000000" w:rsidR="00000000" w:rsidRPr="00000000">
          <w:rPr>
            <w:rFonts w:ascii="Google Sans" w:cs="Google Sans" w:eastAsia="Google Sans" w:hAnsi="Google Sans"/>
            <w:color w:val="0000ee"/>
            <w:sz w:val="24"/>
            <w:szCs w:val="24"/>
            <w:u w:val="single"/>
            <w:rtl w:val="0"/>
          </w:rPr>
          <w:t xml:space="preserve">https://www.avalara.com/blog/en/north-america/2021/06/what-us-sellers-need-to-know-about-eu-ioss-intermediaries.html</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One Stop Shop - VAT e-Commerce, 访问时间为 四月 25, 2026， </w:t>
      </w:r>
      <w:hyperlink r:id="rId103">
        <w:r w:rsidDel="00000000" w:rsidR="00000000" w:rsidRPr="00000000">
          <w:rPr>
            <w:rFonts w:ascii="Google Sans" w:cs="Google Sans" w:eastAsia="Google Sans" w:hAnsi="Google Sans"/>
            <w:color w:val="0000ee"/>
            <w:sz w:val="24"/>
            <w:szCs w:val="24"/>
            <w:u w:val="single"/>
            <w:rtl w:val="0"/>
          </w:rPr>
          <w:t xml:space="preserve">https://vat-one-stop-shop.ec.europa.eu/one-stop-shop_en</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Doing Business in the Kingdom of Saudi Arabia 2025 - PwC, 访问时间为 四月 25, 2026， </w:t>
      </w:r>
      <w:hyperlink r:id="rId104">
        <w:r w:rsidDel="00000000" w:rsidR="00000000" w:rsidRPr="00000000">
          <w:rPr>
            <w:rFonts w:ascii="Google Sans" w:cs="Google Sans" w:eastAsia="Google Sans" w:hAnsi="Google Sans"/>
            <w:color w:val="0000ee"/>
            <w:sz w:val="24"/>
            <w:szCs w:val="24"/>
            <w:u w:val="single"/>
            <w:rtl w:val="0"/>
          </w:rPr>
          <w:t xml:space="preserve">https://www.pwc.com/m1/en/tax/documents/doing-business-guides/dbisa.pdf</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VAT in UAE: 5% Rate, Registration Threshold, Exemptions and Filing Rules - ClearTax, 访问时间为 四月 25, 2026， </w:t>
      </w:r>
      <w:hyperlink r:id="rId105">
        <w:r w:rsidDel="00000000" w:rsidR="00000000" w:rsidRPr="00000000">
          <w:rPr>
            <w:rFonts w:ascii="Google Sans" w:cs="Google Sans" w:eastAsia="Google Sans" w:hAnsi="Google Sans"/>
            <w:color w:val="0000ee"/>
            <w:sz w:val="24"/>
            <w:szCs w:val="24"/>
            <w:u w:val="single"/>
            <w:rtl w:val="0"/>
          </w:rPr>
          <w:t xml:space="preserve">https://www.cleartax.com/ae/vat-in-uae</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FTA's VAT Filing Update: What Businesses Need to Know - Tally Solutions, 访问时间为 四月 25, 2026， </w:t>
      </w:r>
      <w:hyperlink r:id="rId106">
        <w:r w:rsidDel="00000000" w:rsidR="00000000" w:rsidRPr="00000000">
          <w:rPr>
            <w:rFonts w:ascii="Google Sans" w:cs="Google Sans" w:eastAsia="Google Sans" w:hAnsi="Google Sans"/>
            <w:color w:val="0000ee"/>
            <w:sz w:val="24"/>
            <w:szCs w:val="24"/>
            <w:u w:val="single"/>
            <w:rtl w:val="0"/>
          </w:rPr>
          <w:t xml:space="preserve">https://tallysolutions.com/mena/uae-vat/fta-vat-filing-update/</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VAT in UAE 2025: Rates, Registration, Filing &amp; Compliance with Automation. - Taxilla, 访问时间为 四月 25, 2026， </w:t>
      </w:r>
      <w:hyperlink r:id="rId107">
        <w:r w:rsidDel="00000000" w:rsidR="00000000" w:rsidRPr="00000000">
          <w:rPr>
            <w:rFonts w:ascii="Google Sans" w:cs="Google Sans" w:eastAsia="Google Sans" w:hAnsi="Google Sans"/>
            <w:color w:val="0000ee"/>
            <w:sz w:val="24"/>
            <w:szCs w:val="24"/>
            <w:u w:val="single"/>
            <w:rtl w:val="0"/>
          </w:rPr>
          <w:t xml:space="preserve">https://www.taxilla.com/vat-uae-2025-rates-registration-filing-compliance</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Employment Law Outside the United States for Multinational Employers – Part 1 | Littler, 访问时间为 四月 25, 2026， </w:t>
      </w:r>
      <w:hyperlink r:id="rId108">
        <w:r w:rsidDel="00000000" w:rsidR="00000000" w:rsidRPr="00000000">
          <w:rPr>
            <w:rFonts w:ascii="Google Sans" w:cs="Google Sans" w:eastAsia="Google Sans" w:hAnsi="Google Sans"/>
            <w:color w:val="0000ee"/>
            <w:sz w:val="24"/>
            <w:szCs w:val="24"/>
            <w:u w:val="single"/>
            <w:rtl w:val="0"/>
          </w:rPr>
          <w:t xml:space="preserve">https://www.littler.com/news-analysis/asap/understanding-employment-law-outside-united-states-multinational-employers-part</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Time Directive - Employment, Social Affairs and Inclusion - European Union, 访问时间为 四月 25, 2026， </w:t>
      </w:r>
      <w:hyperlink r:id="rId109">
        <w:r w:rsidDel="00000000" w:rsidR="00000000" w:rsidRPr="00000000">
          <w:rPr>
            <w:rFonts w:ascii="Google Sans" w:cs="Google Sans" w:eastAsia="Google Sans" w:hAnsi="Google Sans"/>
            <w:color w:val="0000ee"/>
            <w:sz w:val="24"/>
            <w:szCs w:val="24"/>
            <w:u w:val="single"/>
            <w:rtl w:val="0"/>
          </w:rPr>
          <w:t xml:space="preserve">https://employment-social-affairs.ec.europa.eu/policies-and-activities/rights-work/labour-law/working-conditions/working-time-directive_en</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time compliance across borders: Practical insights for employers | JD Supra, 访问时间为 四月 25, 2026， </w:t>
      </w:r>
      <w:hyperlink r:id="rId110">
        <w:r w:rsidDel="00000000" w:rsidR="00000000" w:rsidRPr="00000000">
          <w:rPr>
            <w:rFonts w:ascii="Google Sans" w:cs="Google Sans" w:eastAsia="Google Sans" w:hAnsi="Google Sans"/>
            <w:color w:val="0000ee"/>
            <w:sz w:val="24"/>
            <w:szCs w:val="24"/>
            <w:u w:val="single"/>
            <w:rtl w:val="0"/>
          </w:rPr>
          <w:t xml:space="preserve">https://www.jdsupra.com/legalnews/working-time-compliance-across-borders-9942246/</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No. 13 of 2003 on Manpower (BKPM), 访问时间为 四月 25, 2026， </w:t>
      </w:r>
      <w:hyperlink r:id="rId111">
        <w:r w:rsidDel="00000000" w:rsidR="00000000" w:rsidRPr="00000000">
          <w:rPr>
            <w:rFonts w:ascii="Google Sans" w:cs="Google Sans" w:eastAsia="Google Sans" w:hAnsi="Google Sans"/>
            <w:color w:val="0000ee"/>
            <w:sz w:val="24"/>
            <w:szCs w:val="24"/>
            <w:u w:val="single"/>
            <w:rtl w:val="0"/>
          </w:rPr>
          <w:t xml:space="preserve">https://www.flevin.com/id/lgso/translations/Laws/Law%20No.%2013%20of%202003%20on%20Manpower%20(BKPM).pdf</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Labour and employment law in Indonesia - L&amp;E Global, 访问时间为 四月 25, 2026， </w:t>
      </w:r>
      <w:hyperlink r:id="rId112">
        <w:r w:rsidDel="00000000" w:rsidR="00000000" w:rsidRPr="00000000">
          <w:rPr>
            <w:rFonts w:ascii="Google Sans" w:cs="Google Sans" w:eastAsia="Google Sans" w:hAnsi="Google Sans"/>
            <w:color w:val="0000ee"/>
            <w:sz w:val="24"/>
            <w:szCs w:val="24"/>
            <w:u w:val="single"/>
            <w:rtl w:val="0"/>
          </w:rPr>
          <w:t xml:space="preserve">https://leglobal.law/countries/indonesia/employment-law/employment-law-overview-indonesia/</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Indonesia - Impacts of the Omnibus Law on Labor Law - DS Avocats, 访问时间为 四月 25, 2026， </w:t>
      </w:r>
      <w:hyperlink r:id="rId113">
        <w:r w:rsidDel="00000000" w:rsidR="00000000" w:rsidRPr="00000000">
          <w:rPr>
            <w:rFonts w:ascii="Google Sans" w:cs="Google Sans" w:eastAsia="Google Sans" w:hAnsi="Google Sans"/>
            <w:color w:val="0000ee"/>
            <w:sz w:val="24"/>
            <w:szCs w:val="24"/>
            <w:u w:val="single"/>
            <w:rtl w:val="0"/>
          </w:rPr>
          <w:t xml:space="preserve">http://www.dsavocats.com/mailing/Indonesia-Impacts-Omnibus-Law-on-Labor-Law.pdf</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Law 33 of 2021 – The “Labour Law” Summary, 访问时间为 四月 25, 2026， </w:t>
      </w:r>
      <w:hyperlink r:id="rId114">
        <w:r w:rsidDel="00000000" w:rsidR="00000000" w:rsidRPr="00000000">
          <w:rPr>
            <w:rFonts w:ascii="Google Sans" w:cs="Google Sans" w:eastAsia="Google Sans" w:hAnsi="Google Sans"/>
            <w:color w:val="0000ee"/>
            <w:sz w:val="24"/>
            <w:szCs w:val="24"/>
            <w:u w:val="single"/>
            <w:rtl w:val="0"/>
          </w:rPr>
          <w:t xml:space="preserve">https://dda.gov.ae/-/media/218BD60807934D8F888B472B2FDB78E7.pdf</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Decree by Law No. (33) of 2021 Regulating Labor Relations, 访问时间为 四月 25, 2026， </w:t>
      </w:r>
      <w:hyperlink r:id="rId115">
        <w:r w:rsidDel="00000000" w:rsidR="00000000" w:rsidRPr="00000000">
          <w:rPr>
            <w:rFonts w:ascii="Google Sans" w:cs="Google Sans" w:eastAsia="Google Sans" w:hAnsi="Google Sans"/>
            <w:color w:val="0000ee"/>
            <w:sz w:val="24"/>
            <w:szCs w:val="24"/>
            <w:u w:val="single"/>
            <w:rtl w:val="0"/>
          </w:rPr>
          <w:t xml:space="preserve">https://uaelegislation.gov.ae/en/legislations/1541/download</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Employment Law Guide - Deloitte, 访问时间为 四月 25, 2026， </w:t>
      </w:r>
      <w:hyperlink r:id="rId116">
        <w:r w:rsidDel="00000000" w:rsidR="00000000" w:rsidRPr="00000000">
          <w:rPr>
            <w:rFonts w:ascii="Google Sans" w:cs="Google Sans" w:eastAsia="Google Sans" w:hAnsi="Google Sans"/>
            <w:color w:val="0000ee"/>
            <w:sz w:val="24"/>
            <w:szCs w:val="24"/>
            <w:u w:val="single"/>
            <w:rtl w:val="0"/>
          </w:rPr>
          <w:t xml:space="preserve">https://www.deloitte.com/global/en/services/legal/analysis/international-employment-law-guide.html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app.org/news/a/notes-from-the-asia-pacific-region-navigating-data-protection-developments-in-southeast-asia" TargetMode="External"/><Relationship Id="rId42" Type="http://schemas.openxmlformats.org/officeDocument/2006/relationships/hyperlink" Target="https://www.dataguidance.com/jurisdictions/saudi-arabia?topic=notes" TargetMode="External"/><Relationship Id="rId41" Type="http://schemas.openxmlformats.org/officeDocument/2006/relationships/hyperlink" Target="https://www.wattlecorp.com/pdpl-compliance-guide-saudi-arabia/" TargetMode="External"/><Relationship Id="rId44" Type="http://schemas.openxmlformats.org/officeDocument/2006/relationships/hyperlink" Target="https://www.mcit.gov.sa/sites/default/files/cloud_policy_en.pdf" TargetMode="External"/><Relationship Id="rId43" Type="http://schemas.openxmlformats.org/officeDocument/2006/relationships/hyperlink" Target="https://incountry.com/blog/how-to-comply-with-saudi-arabia-data-protection-laws/" TargetMode="External"/><Relationship Id="rId46" Type="http://schemas.openxmlformats.org/officeDocument/2006/relationships/hyperlink" Target="https://www.sgs.com/en-ae/news/2025/11/strengthening-cloud-security-in-the-middle-east-challenges-and-best-practices" TargetMode="External"/><Relationship Id="rId45" Type="http://schemas.openxmlformats.org/officeDocument/2006/relationships/hyperlink" Target="https://dig.watch/resource/cloud-first-policy-of-saudi-arabia" TargetMode="External"/><Relationship Id="rId107" Type="http://schemas.openxmlformats.org/officeDocument/2006/relationships/hyperlink" Target="https://www.taxilla.com/vat-uae-2025-rates-registration-filing-compliance" TargetMode="External"/><Relationship Id="rId106" Type="http://schemas.openxmlformats.org/officeDocument/2006/relationships/hyperlink" Target="https://tallysolutions.com/mena/uae-vat/fta-vat-filing-update/" TargetMode="External"/><Relationship Id="rId105" Type="http://schemas.openxmlformats.org/officeDocument/2006/relationships/hyperlink" Target="https://www.cleartax.com/ae/vat-in-uae" TargetMode="External"/><Relationship Id="rId104" Type="http://schemas.openxmlformats.org/officeDocument/2006/relationships/hyperlink" Target="https://www.pwc.com/m1/en/tax/documents/doing-business-guides/dbisa.pdf" TargetMode="External"/><Relationship Id="rId109" Type="http://schemas.openxmlformats.org/officeDocument/2006/relationships/hyperlink" Target="https://employment-social-affairs.ec.europa.eu/policies-and-activities/rights-work/labour-law/working-conditions/working-time-directive_en" TargetMode="External"/><Relationship Id="rId108" Type="http://schemas.openxmlformats.org/officeDocument/2006/relationships/hyperlink" Target="https://www.littler.com/news-analysis/asap/understanding-employment-law-outside-united-states-multinational-employers-part" TargetMode="External"/><Relationship Id="rId48" Type="http://schemas.openxmlformats.org/officeDocument/2006/relationships/hyperlink" Target="https://u.ae/en/about-the-uae/digital-uae/data/data-protection-laws" TargetMode="External"/><Relationship Id="rId47" Type="http://schemas.openxmlformats.org/officeDocument/2006/relationships/hyperlink" Target="https://navigatingx.com/blog/f/ksas-cloud-first-policy-data-centers-strategy-empowering-saas" TargetMode="External"/><Relationship Id="rId49" Type="http://schemas.openxmlformats.org/officeDocument/2006/relationships/hyperlink" Target="https://www.appluslaboratories.com/global/en/news/publications/new-cybersecurity-regulations-vehicles-unece-wp29" TargetMode="External"/><Relationship Id="rId103" Type="http://schemas.openxmlformats.org/officeDocument/2006/relationships/hyperlink" Target="https://vat-one-stop-shop.ec.europa.eu/one-stop-shop_en" TargetMode="External"/><Relationship Id="rId102" Type="http://schemas.openxmlformats.org/officeDocument/2006/relationships/hyperlink" Target="https://www.avalara.com/blog/en/north-america/2021/06/what-us-sellers-need-to-know-about-eu-ioss-intermediaries.html" TargetMode="External"/><Relationship Id="rId101" Type="http://schemas.openxmlformats.org/officeDocument/2006/relationships/hyperlink" Target="https://sovos.com/guides/eu-vat-e-commerce-package-guide/" TargetMode="External"/><Relationship Id="rId100" Type="http://schemas.openxmlformats.org/officeDocument/2006/relationships/hyperlink" Target="https://marosavat.com/resources/vat-rules-for-e-commerce" TargetMode="External"/><Relationship Id="rId31" Type="http://schemas.openxmlformats.org/officeDocument/2006/relationships/hyperlink" Target="https://itif.org/publications/2025/06/09/indonesia-data-localization-regulation/" TargetMode="External"/><Relationship Id="rId30" Type="http://schemas.openxmlformats.org/officeDocument/2006/relationships/hyperlink" Target="https://rouse.com/insights/news/2025/data-localisation-and-transfer-issues-in-southeast-asia-what-businesses-need-to-know" TargetMode="External"/><Relationship Id="rId33" Type="http://schemas.openxmlformats.org/officeDocument/2006/relationships/hyperlink" Target="https://www.sangfor.com/blog/cloud-and-infrastructure/what-is-data-localization-a-special-focus-on-se-asia" TargetMode="External"/><Relationship Id="rId32" Type="http://schemas.openxmlformats.org/officeDocument/2006/relationships/hyperlink" Target="https://fystack.io/blog/vietnam-digital-asset-law-a-guide-to-compliant-crypto-custody-and-data-sovereignty" TargetMode="External"/><Relationship Id="rId35" Type="http://schemas.openxmlformats.org/officeDocument/2006/relationships/hyperlink" Target="https://english.luatvietnam.vn/decree-no-13-2023-nd-cp-dated-april-17-2023-of-the-government-on-personal-data-protection-249791-doc1.html" TargetMode="External"/><Relationship Id="rId34" Type="http://schemas.openxmlformats.org/officeDocument/2006/relationships/hyperlink" Target="https://www.hoganlovells.com/en/publications/vietnam-enacts-landmark-law-on-personal-data-protection-stable-standing-with-stricter-compliance" TargetMode="External"/><Relationship Id="rId37" Type="http://schemas.openxmlformats.org/officeDocument/2006/relationships/hyperlink" Target="https://incountry.com/blog/navigating-southeast-asias-evolving-data-protection-laws-insights-from-singapore-indonesia-vietnam-thailand/" TargetMode="External"/><Relationship Id="rId36" Type="http://schemas.openxmlformats.org/officeDocument/2006/relationships/hyperlink" Target="https://www.ey.com/content/dam/ey-unified-site/ey-com/en-vn/technical/tax/documents/ey-vietnam-legal-update-may-2023-en.pdf" TargetMode="External"/><Relationship Id="rId39" Type="http://schemas.openxmlformats.org/officeDocument/2006/relationships/hyperlink" Target="https://groundlabs.com/blog/pdpa-in-malaysia-singapore-korea-and-vietnam" TargetMode="External"/><Relationship Id="rId38" Type="http://schemas.openxmlformats.org/officeDocument/2006/relationships/hyperlink" Target="https://www.freshfields.com/en/our-thinking/campaigns/data-trends-2025/asias-privacy-laws-are-maturing" TargetMode="External"/><Relationship Id="rId20" Type="http://schemas.openxmlformats.org/officeDocument/2006/relationships/hyperlink" Target="https://www.competitionpolicyinternational.com/wp-content/uploads/2023/02/Asia-Column-February-2023-Full.pdf" TargetMode="External"/><Relationship Id="rId22" Type="http://schemas.openxmlformats.org/officeDocument/2006/relationships/hyperlink" Target="https://www.cambridge.org/core/books/cambridge-handbook-of-competition-law-sanctions/competition-law-sanctions-in-indonesia-and-a-comparison-to-other-asean-member-states/1DA7AA632726D0F8E34CDAE9C313FBA4" TargetMode="External"/><Relationship Id="rId21" Type="http://schemas.openxmlformats.org/officeDocument/2006/relationships/hyperlink" Target="https://www.flevin.com/id/lgso/translations/Laws/Law%20No.%205%20of%201999%20on%20the%20Prohibition%20of%20Monopolistic%20Practices%20and%20Unfair%20Business%20Competition%20(BKPM).pdf" TargetMode="External"/><Relationship Id="rId24" Type="http://schemas.openxmlformats.org/officeDocument/2006/relationships/hyperlink" Target="https://law1a.nus.edu.sg/asli/21st_asli_conf/pdf/P3_Competition_Law.pdf" TargetMode="External"/><Relationship Id="rId23" Type="http://schemas.openxmlformats.org/officeDocument/2006/relationships/hyperlink" Target="https://www.cliffordchance.com/content/dam/cliffordchance/briefings/2014/02/a-guide-to-antitrust-and-competition-law-in-asia-pacific.pdf" TargetMode="External"/><Relationship Id="rId26" Type="http://schemas.openxmlformats.org/officeDocument/2006/relationships/hyperlink" Target="https://www.gibsondunn.com/antitrust-in-china-2025-year-in-review/" TargetMode="External"/><Relationship Id="rId25" Type="http://schemas.openxmlformats.org/officeDocument/2006/relationships/hyperlink" Target="https://legalblogs.wolterskluwer.com/competition-blog/the-2025-comeback-of-chinese-merger-control-enforcement/" TargetMode="External"/><Relationship Id="rId28" Type="http://schemas.openxmlformats.org/officeDocument/2006/relationships/hyperlink" Target="https://millershah.com/blog/the-future-of-antitrust-laws-trends-and-predictions/" TargetMode="External"/><Relationship Id="rId27" Type="http://schemas.openxmlformats.org/officeDocument/2006/relationships/hyperlink" Target="https://www.gibsondunn.com/antitrust-in-china-review-and-outlook-2025/" TargetMode="External"/><Relationship Id="rId29" Type="http://schemas.openxmlformats.org/officeDocument/2006/relationships/hyperlink" Target="https://trustarc.com/resource/data-localization-global-privacy-laws/" TargetMode="External"/><Relationship Id="rId95" Type="http://schemas.openxmlformats.org/officeDocument/2006/relationships/hyperlink" Target="https://www.tuv.com/landingpage/en/eu-new-battery-regulation-eu-2023-1542/" TargetMode="External"/><Relationship Id="rId94" Type="http://schemas.openxmlformats.org/officeDocument/2006/relationships/hyperlink" Target="https://extendmax.vn/new-regulation-on-cr-safety-and-emc-approval-for-home-appliances" TargetMode="External"/><Relationship Id="rId97" Type="http://schemas.openxmlformats.org/officeDocument/2006/relationships/hyperlink" Target="https://www.vde.com/topics-en/energy/dienstleistungen" TargetMode="External"/><Relationship Id="rId96" Type="http://schemas.openxmlformats.org/officeDocument/2006/relationships/hyperlink" Target="https://www.ul.com/insights/eu-battery-regulation-what-you-need-know" TargetMode="External"/><Relationship Id="rId11" Type="http://schemas.openxmlformats.org/officeDocument/2006/relationships/hyperlink" Target="https://www.hsfkramer.com/dam/jcr:94e59858-5c5a-446d-baac-e30817fbad9e/Navigating%20FDI%20Regulation%20in%20M%20and%20A%20(Global%20Brochure)%20(November%202024).pdf" TargetMode="External"/><Relationship Id="rId99" Type="http://schemas.openxmlformats.org/officeDocument/2006/relationships/hyperlink" Target="https://vat-one-stop-shop.ec.europa.eu/index_en" TargetMode="External"/><Relationship Id="rId10" Type="http://schemas.openxmlformats.org/officeDocument/2006/relationships/hyperlink" Target="https://www.cliffordchance.com/content/dam/cliffordchance/expertise/Antitrust/global-foreign-investment-and-cfius-brochure-2025.pdf" TargetMode="External"/><Relationship Id="rId98" Type="http://schemas.openxmlformats.org/officeDocument/2006/relationships/hyperlink" Target="https://bepassociation.eu/batteries-regulation-brief-overview/" TargetMode="External"/><Relationship Id="rId13" Type="http://schemas.openxmlformats.org/officeDocument/2006/relationships/hyperlink" Target="https://cset.georgetown.edu/publication/china-export-control-catalog-july-2025/" TargetMode="External"/><Relationship Id="rId12" Type="http://schemas.openxmlformats.org/officeDocument/2006/relationships/hyperlink" Target="https://sanctionsnews.bakermckenzie.com/china-published-implementing-regulations-under-the-export-control-law/" TargetMode="External"/><Relationship Id="rId91" Type="http://schemas.openxmlformats.org/officeDocument/2006/relationships/hyperlink" Target="https://www.productcomplianceinstitute.com/vietnam/" TargetMode="External"/><Relationship Id="rId90" Type="http://schemas.openxmlformats.org/officeDocument/2006/relationships/hyperlink" Target="https://businesshubasia.com/sni-certification-electronics-2026/" TargetMode="External"/><Relationship Id="rId93" Type="http://schemas.openxmlformats.org/officeDocument/2006/relationships/hyperlink" Target="https://www.asean.org/wp-content/uploads/images/archive/SnC/Information%20Booklet_VN.pdf" TargetMode="External"/><Relationship Id="rId92" Type="http://schemas.openxmlformats.org/officeDocument/2006/relationships/hyperlink" Target="https://tcvn.gov.vn/wp-content/uploads/2022/11/Information-Booklet_VN-Version-2-As-of-7-November-2022.pdf" TargetMode="External"/><Relationship Id="rId116" Type="http://schemas.openxmlformats.org/officeDocument/2006/relationships/hyperlink" Target="https://www.deloitte.com/global/en/services/legal/analysis/international-employment-law-guide.html" TargetMode="External"/><Relationship Id="rId115" Type="http://schemas.openxmlformats.org/officeDocument/2006/relationships/hyperlink" Target="https://uaelegislation.gov.ae/en/legislations/1541/download" TargetMode="External"/><Relationship Id="rId15" Type="http://schemas.openxmlformats.org/officeDocument/2006/relationships/hyperlink" Target="https://www.alixpartners.com/insights/102juve/2024-a-review-of-foreign-sanctions-and-export-control-developments-involving-chi/" TargetMode="External"/><Relationship Id="rId110" Type="http://schemas.openxmlformats.org/officeDocument/2006/relationships/hyperlink" Target="https://www.jdsupra.com/legalnews/working-time-compliance-across-borders-9942246/" TargetMode="External"/><Relationship Id="rId14" Type="http://schemas.openxmlformats.org/officeDocument/2006/relationships/hyperlink" Target="https://www.china-briefing.com/news/technologies-subject-to-export-control-in-china-prohibited-restricted-export-catalogue/" TargetMode="External"/><Relationship Id="rId17" Type="http://schemas.openxmlformats.org/officeDocument/2006/relationships/hyperlink" Target="https://www.manufacturingdive.com/news/ira-guidance-foreign-entity-of-concern-automakers-evs-batteries-china/701344/" TargetMode="External"/><Relationship Id="rId16" Type="http://schemas.openxmlformats.org/officeDocument/2006/relationships/hyperlink" Target="https://home.treasury.gov/news/press-releases/jy1939" TargetMode="External"/><Relationship Id="rId19" Type="http://schemas.openxmlformats.org/officeDocument/2006/relationships/hyperlink" Target="https://iratracker.org/programs/ira-section-13401-clean-vehicle-credit/" TargetMode="External"/><Relationship Id="rId114" Type="http://schemas.openxmlformats.org/officeDocument/2006/relationships/hyperlink" Target="https://dda.gov.ae/-/media/218BD60807934D8F888B472B2FDB78E7.pdf" TargetMode="External"/><Relationship Id="rId18" Type="http://schemas.openxmlformats.org/officeDocument/2006/relationships/hyperlink" Target="https://bipartisanpolicy.org/article/ira-ev-tax-credits/" TargetMode="External"/><Relationship Id="rId113" Type="http://schemas.openxmlformats.org/officeDocument/2006/relationships/hyperlink" Target="http://www.dsavocats.com/mailing/Indonesia-Impacts-Omnibus-Law-on-Labor-Law.pdf" TargetMode="External"/><Relationship Id="rId112" Type="http://schemas.openxmlformats.org/officeDocument/2006/relationships/hyperlink" Target="https://leglobal.law/countries/indonesia/employment-law/employment-law-overview-indonesia/" TargetMode="External"/><Relationship Id="rId111" Type="http://schemas.openxmlformats.org/officeDocument/2006/relationships/hyperlink" Target="https://www.flevin.com/id/lgso/translations/Laws/Law%20No.%2013%20of%202003%20on%20Manpower%20(BKPM).pdf" TargetMode="External"/><Relationship Id="rId84" Type="http://schemas.openxmlformats.org/officeDocument/2006/relationships/hyperlink" Target="https://www.qima.com/consumer-products/certifications/saso-conformity" TargetMode="External"/><Relationship Id="rId83" Type="http://schemas.openxmlformats.org/officeDocument/2006/relationships/hyperlink" Target="https://www.tuvsud.com/en-ae/industries/consumer-products-and-retail/textile-and-clothing/saudi-standards-metrology-and-quality-organisation" TargetMode="External"/><Relationship Id="rId86" Type="http://schemas.openxmlformats.org/officeDocument/2006/relationships/hyperlink" Target="https://www.csagroup.org/global-certification-regulatory-update/saudi-arabia-saso-update-requirements-for-smartphone-chargers-and-electronic-devices/" TargetMode="External"/><Relationship Id="rId85" Type="http://schemas.openxmlformats.org/officeDocument/2006/relationships/hyperlink" Target="https://radhiawad.com.sa/english/saber-certificate-requirements-for-saudi-customs-clearance/" TargetMode="External"/><Relationship Id="rId88" Type="http://schemas.openxmlformats.org/officeDocument/2006/relationships/hyperlink" Target="https://xds-solutions.com/certification/saudi-arabia/saber-certification/telecommunications-devices?hscode=851762900008" TargetMode="External"/><Relationship Id="rId87" Type="http://schemas.openxmlformats.org/officeDocument/2006/relationships/hyperlink" Target="https://middle-east.cotecna.com/en/media/news/new-hs-codes-now-regulated-under-saber" TargetMode="External"/><Relationship Id="rId89" Type="http://schemas.openxmlformats.org/officeDocument/2006/relationships/hyperlink" Target="https://www.tuvsud.com/en/knowledge-hub/technical-updates/consumer-products-and-retail-essentials/indonesian-ministry-of-industry-issued-regulation-for-electronic-devices" TargetMode="External"/><Relationship Id="rId80" Type="http://schemas.openxmlformats.org/officeDocument/2006/relationships/hyperlink" Target="https://www.sgs.com/en-us/services/gulf-product-conformity-assessment-pca" TargetMode="External"/><Relationship Id="rId82" Type="http://schemas.openxmlformats.org/officeDocument/2006/relationships/hyperlink" Target="https://www.trade.gov/saudi-arabia-testing-inspection-and-certification" TargetMode="External"/><Relationship Id="rId81" Type="http://schemas.openxmlformats.org/officeDocument/2006/relationships/hyperlink" Target="https://gccertifications.com/gsogmark/available_infor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sc.edu.au/foreign-direct-investment-screening-in-australia-the-united-states-the-united-kingdom-japan-and-the-european-union-recent-reforms" TargetMode="External"/><Relationship Id="rId5" Type="http://schemas.openxmlformats.org/officeDocument/2006/relationships/styles" Target="styles.xml"/><Relationship Id="rId6" Type="http://schemas.openxmlformats.org/officeDocument/2006/relationships/hyperlink" Target="https://www.oceanlawfirm.com/html/2025/rdwt_0627/609.html" TargetMode="External"/><Relationship Id="rId7" Type="http://schemas.openxmlformats.org/officeDocument/2006/relationships/hyperlink" Target="https://www.whitecase.com/insight-our-thinking/foreign-direct-investment-reviews-2024-united-states" TargetMode="External"/><Relationship Id="rId8" Type="http://schemas.openxmlformats.org/officeDocument/2006/relationships/hyperlink" Target="https://www.globaltradeandsanctionslaw.com/key-takeaways-cfius-2024-annual-report/" TargetMode="External"/><Relationship Id="rId73" Type="http://schemas.openxmlformats.org/officeDocument/2006/relationships/hyperlink" Target="https://timesofindia.indiatimes.com/world/middle-east/saudi-arabia-sets-clear-rules-for-content-creators-and-influencers-everything-you-need-to-know/articleshow/124232340.cms" TargetMode="External"/><Relationship Id="rId72" Type="http://schemas.openxmlformats.org/officeDocument/2006/relationships/hyperlink" Target="https://www.ozdagistanliekici.com/novel-amendments-on-consumer-protection-and-e-commerce-legislations/" TargetMode="External"/><Relationship Id="rId75" Type="http://schemas.openxmlformats.org/officeDocument/2006/relationships/hyperlink" Target="https://u.ae/en/media/media-in-the-uae/media-regulation" TargetMode="External"/><Relationship Id="rId74" Type="http://schemas.openxmlformats.org/officeDocument/2006/relationships/hyperlink" Target="https://gulfnews.com/world/gulf/saudi/saudi-arabia-sets-new-guidelines-for-content-creators-clarifies-violations-1.500288814" TargetMode="External"/><Relationship Id="rId77" Type="http://schemas.openxmlformats.org/officeDocument/2006/relationships/hyperlink" Target="https://www.intertek.com/product-certification-marks/gmark/" TargetMode="External"/><Relationship Id="rId76" Type="http://schemas.openxmlformats.org/officeDocument/2006/relationships/hyperlink" Target="https://www.tamimi.com/law-update-articles/arrested-development-legal-considerations-for-app-developers-in-the-middle-east/" TargetMode="External"/><Relationship Id="rId79" Type="http://schemas.openxmlformats.org/officeDocument/2006/relationships/hyperlink" Target="https://www.nemko.com/product-certification/gulf-conformity-mark-g-mark" TargetMode="External"/><Relationship Id="rId78" Type="http://schemas.openxmlformats.org/officeDocument/2006/relationships/hyperlink" Target="https://www.qima.vn/gmark-certification" TargetMode="External"/><Relationship Id="rId71" Type="http://schemas.openxmlformats.org/officeDocument/2006/relationships/hyperlink" Target="https://rouse.com/insights/news/2025/vietnam-introduces-two-major-e-commerce-regulations" TargetMode="External"/><Relationship Id="rId70" Type="http://schemas.openxmlformats.org/officeDocument/2006/relationships/hyperlink" Target="https://asean.org/wp-content/uploads/2023/03/ASEAN-Guidelines-on-Consumer-Impact-E-COMMERCE_V2-1.pdf" TargetMode="External"/><Relationship Id="rId62" Type="http://schemas.openxmlformats.org/officeDocument/2006/relationships/hyperlink" Target="https://digital-strategy.ec.europa.eu/en/policies/digital-services-act" TargetMode="External"/><Relationship Id="rId61" Type="http://schemas.openxmlformats.org/officeDocument/2006/relationships/hyperlink" Target="https://www.gmfus.org/news/eus-digital-markets-act-and-digital-services-act" TargetMode="External"/><Relationship Id="rId64" Type="http://schemas.openxmlformats.org/officeDocument/2006/relationships/hyperlink" Target="https://netkodo.com/blog/the-eu-omnibus-directive-explained-your-complete-guide-to-e-commerce-compliance-on-shopify" TargetMode="External"/><Relationship Id="rId63" Type="http://schemas.openxmlformats.org/officeDocument/2006/relationships/hyperlink" Target="https://www.zhonglun.com/research/articles/55481.html" TargetMode="External"/><Relationship Id="rId66" Type="http://schemas.openxmlformats.org/officeDocument/2006/relationships/hyperlink" Target="https://www.dudkowiak.com/e-commerce-law-in-poland/e-commerce-regulation-in-europe/" TargetMode="External"/><Relationship Id="rId65" Type="http://schemas.openxmlformats.org/officeDocument/2006/relationships/hyperlink" Target="https://www.ey.com/en_pl/insights/law/omnibus-directive" TargetMode="External"/><Relationship Id="rId68" Type="http://schemas.openxmlformats.org/officeDocument/2006/relationships/hyperlink" Target="https://www.commerce.gov.pk/wp-content/uploads/2025/06/draft-e-Commerce-Policy-2025-30-for-stakeholders.pdf" TargetMode="External"/><Relationship Id="rId67" Type="http://schemas.openxmlformats.org/officeDocument/2006/relationships/hyperlink" Target="https://www.ftc.gov/business-guidance/resources/INFORMAct" TargetMode="External"/><Relationship Id="rId60" Type="http://schemas.openxmlformats.org/officeDocument/2006/relationships/hyperlink" Target="https://en.wikipedia.org/wiki/Digital_Markets_Act" TargetMode="External"/><Relationship Id="rId69" Type="http://schemas.openxmlformats.org/officeDocument/2006/relationships/hyperlink" Target="https://www.iisd.org/publications/report/consumer-protection-e-commerce" TargetMode="External"/><Relationship Id="rId51" Type="http://schemas.openxmlformats.org/officeDocument/2006/relationships/hyperlink" Target="https://www.trustonic.com/opinion/what-are-r155-r156-regulations-and-how-can-tees-help-automotive-oems-meet-them/" TargetMode="External"/><Relationship Id="rId50" Type="http://schemas.openxmlformats.org/officeDocument/2006/relationships/hyperlink" Target="https://www.certivo.com/frameworks/un-r155-r156-vehicle-cybersecurity-compliance" TargetMode="External"/><Relationship Id="rId53" Type="http://schemas.openxmlformats.org/officeDocument/2006/relationships/hyperlink" Target="https://wiki.unece.org/download/attachments/154665132/W2P1%20OICA.pdf?version=1&amp;modificationDate=1643908534916&amp;api=v2" TargetMode="External"/><Relationship Id="rId52" Type="http://schemas.openxmlformats.org/officeDocument/2006/relationships/hyperlink" Target="https://www.ul.com/sis/resources/unece-automotive-cybersecurity-compliance-requirements" TargetMode="External"/><Relationship Id="rId55" Type="http://schemas.openxmlformats.org/officeDocument/2006/relationships/hyperlink" Target="https://kpmg.com/kpmg-us/content/dam/kpmg/pdf/2023/are-the-kids-alright.pdf" TargetMode="External"/><Relationship Id="rId54" Type="http://schemas.openxmlformats.org/officeDocument/2006/relationships/hyperlink" Target="https://www.ftc.gov/legal-library/browse/rules/childrens-online-privacy-protection-rule-coppa" TargetMode="External"/><Relationship Id="rId57" Type="http://schemas.openxmlformats.org/officeDocument/2006/relationships/hyperlink" Target="https://perkinscoie.com/insights/update/four-key-considerations-implementing-california-age-appropriate-design-code" TargetMode="External"/><Relationship Id="rId56" Type="http://schemas.openxmlformats.org/officeDocument/2006/relationships/hyperlink" Target="https://www.troutman.com/insights/california-concentrates-on-childrens-privacy/" TargetMode="External"/><Relationship Id="rId59" Type="http://schemas.openxmlformats.org/officeDocument/2006/relationships/hyperlink" Target="https://www.csis.org/blogs/charting-geoeconomics/guarding-gates-digital-markets-act-and-lessons-ex-ante-regulation" TargetMode="External"/><Relationship Id="rId58" Type="http://schemas.openxmlformats.org/officeDocument/2006/relationships/hyperlink" Target="https://www.esrb.org/privacy-certified-blog/the-abcs-of-the-2025-privacy-playground-age-assurance-bots-and-cop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