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60" w:before="60" w:line="360"/>
        <w:jc w:val="center"/>
      </w:pPr>
      <w:r>
        <w:rPr>
          <w:rFonts w:ascii="Arial" w:eastAsia="Microsoft YaHei" w:hAnsi="Arial"/>
          <w:b/>
          <w:bCs/>
          <w:color w:val="1a1a2e"/>
          <w:sz w:val="36"/>
          <w:szCs w:val="36"/>
        </w:rPr>
        <w:t xml:space="preserve">第二届星瀚杯</w:t>
      </w:r>
    </w:p>
    <w:p>
      <w:pPr>
        <w:spacing w:after="60" w:before="60" w:line="360"/>
        <w:jc w:val="center"/>
      </w:pPr>
      <w:r>
        <w:rPr>
          <w:rFonts w:ascii="Arial" w:eastAsia="Microsoft YaHei" w:hAnsi="Arial"/>
          <w:b/>
          <w:bCs/>
          <w:color w:val="16213e"/>
          <w:sz w:val="30"/>
          <w:szCs w:val="30"/>
        </w:rPr>
        <w:t xml:space="preserve">全国大学生法律 AI 应用创新挑战赛</w:t>
      </w:r>
    </w:p>
    <w:p>
      <w:pPr>
        <w:spacing w:after="60" w:before="60" w:line="360"/>
        <w:jc w:val="center"/>
      </w:pPr>
      <w:r>
        <w:rPr>
          <w:rFonts w:ascii="Arial" w:eastAsia="Microsoft YaHei" w:hAnsi="Arial"/>
          <w:b w:val="false"/>
          <w:bCs w:val="false"/>
          <w:color w:val="555555"/>
          <w:sz w:val="26"/>
          <w:szCs w:val="26"/>
        </w:rPr>
        <w:t xml:space="preserve">初赛参赛材料</w:t>
      </w:r>
    </w:p>
    <w:p>
      <w:pPr>
        <w:spacing w:after="0" w:before="600"/>
      </w:pPr>
    </w:p>
    <w:p>
      <w:pPr>
        <w:spacing w:after="60" w:before="60" w:line="360"/>
        <w:jc w:val="center"/>
      </w:pPr>
      <w:r>
        <w:rPr>
          <w:rFonts w:ascii="Arial" w:eastAsia="Microsoft YaHei" w:hAnsi="Arial"/>
          <w:b/>
          <w:bCs/>
          <w:color w:val="E94560"/>
          <w:sz w:val="40"/>
          <w:szCs w:val="40"/>
        </w:rPr>
        <w:t xml:space="preserve">🔥 火鹰合规</w:t>
      </w:r>
    </w:p>
    <w:p>
      <w:pPr>
        <w:spacing w:after="60" w:before="60" w:line="360"/>
        <w:jc w:val="center"/>
      </w:pPr>
      <w:r>
        <w:rPr>
          <w:rFonts w:ascii="Arial" w:eastAsia="Microsoft YaHei" w:hAnsi="Arial"/>
          <w:b w:val="false"/>
          <w:bCs w:val="false"/>
          <w:color w:val="333333"/>
          <w:sz w:val="24"/>
          <w:szCs w:val="24"/>
        </w:rPr>
        <w:t xml:space="preserve">AI 驱动的企业出口合规风险智能扫描平台</w:t>
      </w:r>
    </w:p>
    <w:p>
      <w:pPr>
        <w:spacing w:after="60" w:before="120" w:line="360"/>
        <w:jc w:val="center"/>
      </w:pPr>
      <w:r>
        <w:rPr>
          <w:rFonts w:ascii="Arial" w:eastAsia="Microsoft YaHei" w:hAnsi="Arial"/>
          <w:b w:val="false"/>
          <w:bCs w:val="false"/>
          <w:color w:val="666666"/>
          <w:sz w:val="22"/>
          <w:szCs w:val="22"/>
        </w:rPr>
        <w:t xml:space="preserve">"想出海？先合规。"</w:t>
      </w:r>
    </w:p>
    <w:p>
      <w:pPr>
        <w:spacing w:after="0" w:before="800"/>
      </w:pPr>
    </w:p>
    <w:p>
      <w:pPr>
        <w:spacing w:after="60" w:before="60" w:line="360"/>
        <w:jc w:val="center"/>
      </w:pPr>
      <w:r>
        <w:rPr>
          <w:rFonts w:ascii="Arial" w:eastAsia="Microsoft YaHei" w:hAnsi="Arial"/>
          <w:b w:val="false"/>
          <w:bCs w:val="false"/>
          <w:color w:val="555555"/>
          <w:sz w:val="22"/>
          <w:szCs w:val="22"/>
        </w:rPr>
        <w:t xml:space="preserve">提交日期：2026年5月</w:t>
      </w:r>
    </w:p>
    <w:p>
      <w:pPr>
        <w:spacing w:after="60" w:before="60" w:line="360"/>
        <w:jc w:val="center"/>
      </w:pPr>
      <w:r>
        <w:rPr>
          <w:rFonts w:ascii="Arial" w:eastAsia="Microsoft YaHei" w:hAnsi="Arial"/>
          <w:b w:val="false"/>
          <w:bCs w:val="false"/>
          <w:color w:val="555555"/>
          <w:sz w:val="22"/>
          <w:szCs w:val="22"/>
        </w:rPr>
        <w:t xml:space="preserve">参赛选手：王建君</w:t>
      </w:r>
    </w:p>
    <w:p>
      <w:pPr>
        <w:spacing w:after="60" w:before="60" w:line="360"/>
        <w:jc w:val="center"/>
      </w:pPr>
      <w:r>
        <w:rPr>
          <w:rFonts w:ascii="Arial" w:eastAsia="Microsoft YaHei" w:hAnsi="Arial"/>
          <w:b w:val="false"/>
          <w:bCs w:val="false"/>
          <w:color w:val="555555"/>
          <w:sz w:val="22"/>
          <w:szCs w:val="22"/>
        </w:rPr>
        <w:t xml:space="preserve">就读院校：深圳大学（数据科学专业）</w:t>
      </w:r>
    </w:p>
    <w:p>
      <w:r>
        <w:br w:type="page"/>
      </w:r>
    </w:p>
    <w:p>
      <w:pPr>
        <w:pStyle w:val="Heading1"/>
        <w:spacing w:after="200" w:before="360"/>
      </w:pPr>
      <w:r>
        <w:rPr>
          <w:rFonts w:ascii="Arial" w:eastAsia="Microsoft YaHei" w:hAnsi="Arial"/>
          <w:b/>
          <w:bCs/>
          <w:color w:val="1a1a2e"/>
          <w:sz w:val="32"/>
          <w:szCs w:val="32"/>
        </w:rPr>
        <w:t xml:space="preserve">一、参赛选手信息</w:t>
      </w:r>
    </w:p>
    <w:p>
      <w:pPr>
        <w:pStyle w:val="Heading2"/>
        <w:spacing w:after="160" w:before="280"/>
      </w:pPr>
      <w:r>
        <w:rPr>
          <w:rFonts w:ascii="Arial" w:eastAsia="Microsoft YaHei" w:hAnsi="Arial"/>
          <w:b/>
          <w:bCs/>
          <w:color w:val="16213e"/>
          <w:sz w:val="28"/>
          <w:szCs w:val="28"/>
        </w:rPr>
        <w:t xml:space="preserve">▌ 1.1 基本信息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项目</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信息</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姓名</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王建君</w:t>
            </w:r>
          </w:p>
        </w:tc>
      </w:tr>
      <w:tr>
        <w:trPr>
          <w:cantSplit/>
        </w:trP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年龄</w:t>
            </w:r>
          </w:p>
        </w:tc>
        <w:tc>
          <w:tcPr>
            <w:tcW w:type="dxa" w:w="6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19岁（2006年5月生）</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学历</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本科在读 · 大二下学期</w:t>
            </w:r>
          </w:p>
        </w:tc>
      </w:tr>
      <w:tr>
        <w:trPr>
          <w:cantSplit/>
        </w:trP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专业</w:t>
            </w:r>
          </w:p>
        </w:tc>
        <w:tc>
          <w:tcPr>
            <w:tcW w:type="dxa" w:w="6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数据科学</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院校</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深圳大学</w:t>
            </w:r>
          </w:p>
        </w:tc>
      </w:tr>
      <w:tr>
        <w:trPr>
          <w:cantSplit/>
        </w:trP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籍贯</w:t>
            </w:r>
          </w:p>
        </w:tc>
        <w:tc>
          <w:tcPr>
            <w:tcW w:type="dxa" w:w="6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广东省</w:t>
            </w:r>
          </w:p>
        </w:tc>
      </w:tr>
      <w:tr>
        <w:trPr>
          <w:cantSplit/>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参赛形式</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个人参赛</w:t>
            </w:r>
          </w:p>
        </w:tc>
      </w:tr>
    </w:tbl>
    <w:p>
      <w:pPr>
        <w:spacing w:after="0" w:before="120"/>
      </w:pPr>
    </w:p>
    <w:p>
      <w:pPr>
        <w:pStyle w:val="Heading2"/>
        <w:spacing w:after="160" w:before="280"/>
      </w:pPr>
      <w:r>
        <w:rPr>
          <w:rFonts w:ascii="Arial" w:eastAsia="Microsoft YaHei" w:hAnsi="Arial"/>
          <w:b/>
          <w:bCs/>
          <w:color w:val="16213e"/>
          <w:sz w:val="28"/>
          <w:szCs w:val="28"/>
        </w:rPr>
        <w:t xml:space="preserve">▌ 1.2 技术背景与核心能力</w:t>
      </w:r>
    </w:p>
    <w:p>
      <w:pPr>
        <w:spacing w:after="60" w:before="60" w:line="360"/>
        <w:jc w:val="left"/>
      </w:pPr>
      <w:r>
        <w:rPr>
          <w:rFonts w:ascii="Arial" w:eastAsia="Microsoft YaHei" w:hAnsi="Arial"/>
          <w:b w:val="false"/>
          <w:bCs w:val="false"/>
          <w:color w:val="333333"/>
          <w:sz w:val="22"/>
          <w:szCs w:val="22"/>
        </w:rPr>
        <w:t xml:space="preserve">本人具备扎实的 AI 工程开发能力，擅长将前沿大模型技术落地为可运行的产品。主要技术栈如下：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方向</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具体技能</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AI / 大模型</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RAG、LangGraph Agentic 编排、Fine-tuning（LoRA / QLoRA）、Claude API、Qwen 系列、本地推理（Ollama）</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后端工程</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Python（FastAPI）、Redis 分布式任务队列、WebSocket、向量数据库（FAISS / Qdrant）</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前端工程</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Next.js / React / TypeScript / Tailwind CSS，具备完整前后端独立开发能力</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数据处理</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PDF/HTML/DOCX 法规文本解析、BM25（jieba 中文分词）、FAISS 向量索引构建</w:t>
            </w:r>
          </w:p>
        </w:tc>
      </w:tr>
    </w:tbl>
    <w:p>
      <w:pPr>
        <w:spacing w:after="0" w:before="120"/>
      </w:pPr>
    </w:p>
    <w:p>
      <w:pPr>
        <w:pStyle w:val="Heading2"/>
        <w:spacing w:after="160" w:before="280"/>
      </w:pPr>
      <w:r>
        <w:rPr>
          <w:rFonts w:ascii="Arial" w:eastAsia="Microsoft YaHei" w:hAnsi="Arial"/>
          <w:b/>
          <w:bCs/>
          <w:color w:val="16213e"/>
          <w:sz w:val="28"/>
          <w:szCs w:val="28"/>
        </w:rPr>
        <w:t xml:space="preserve">▌ 1.3 项目经历与荣誉</w:t>
      </w:r>
    </w:p>
    <w:p>
      <w:pPr>
        <w:pStyle w:val="ListParagraph"/>
        <w:numPr>
          <w:ilvl w:val="0"/>
          <w:numId w:val="2"/>
        </w:numPr>
        <w:spacing w:after="40" w:before="40" w:line="360"/>
      </w:pPr>
      <w:r>
        <w:rPr>
          <w:rFonts w:ascii="Arial" w:eastAsia="Microsoft YaHei" w:hAnsi="Arial"/>
          <w:color w:val="333333"/>
          <w:sz w:val="22"/>
          <w:szCs w:val="22"/>
        </w:rPr>
        <w:t xml:space="preserve">深圳林源科技实习（2025.10–2025.12）：主导构建多模态 AI 物料生成系统，负责 FastAPI 后端架构、Redis 分布式任务队列、WebSocket 实时通信，设计 Adapter Pattern 异构模型统一接口，实现 LLM-as-a-Judge 质量评估管线。</w:t>
      </w:r>
    </w:p>
    <w:p>
      <w:pPr>
        <w:pStyle w:val="ListParagraph"/>
        <w:numPr>
          <w:ilvl w:val="0"/>
          <w:numId w:val="2"/>
        </w:numPr>
        <w:spacing w:after="40" w:before="40" w:line="360"/>
      </w:pPr>
      <w:r>
        <w:rPr>
          <w:rFonts w:ascii="Arial" w:eastAsia="Microsoft YaHei" w:hAnsi="Arial"/>
          <w:color w:val="333333"/>
          <w:sz w:val="22"/>
          <w:szCs w:val="22"/>
        </w:rPr>
        <w:t xml:space="preserve">腾讯导师计划（已入选）：完成 AI 代码分析与多语言修复 Benchmark 项目，基于 Qwen3.5-9B LoRA 微调 + AST 切片 + 三路 RRF 检索，将跨文件代码分析 F1 从 0.28 提升至 0.61。</w:t>
      </w:r>
    </w:p>
    <w:p>
      <w:pPr>
        <w:pStyle w:val="ListParagraph"/>
        <w:numPr>
          <w:ilvl w:val="0"/>
          <w:numId w:val="2"/>
        </w:numPr>
        <w:spacing w:after="40" w:before="40" w:line="360"/>
      </w:pPr>
      <w:r>
        <w:rPr>
          <w:rFonts w:ascii="Arial" w:eastAsia="Microsoft YaHei" w:hAnsi="Arial"/>
          <w:color w:val="333333"/>
          <w:sz w:val="22"/>
          <w:szCs w:val="22"/>
        </w:rPr>
        <w:t xml:space="preserve">多次荣获省级及以上 AI 创新竞赛奖项，具有 AI 工程化项目的完整交付经验。</w:t>
      </w:r>
    </w:p>
    <w:p>
      <w:pPr>
        <w:pStyle w:val="ListParagraph"/>
        <w:numPr>
          <w:ilvl w:val="0"/>
          <w:numId w:val="2"/>
        </w:numPr>
        <w:spacing w:after="40" w:before="40" w:line="360"/>
      </w:pPr>
      <w:r>
        <w:rPr>
          <w:rFonts w:ascii="Arial" w:eastAsia="Microsoft YaHei" w:hAnsi="Arial"/>
          <w:color w:val="333333"/>
          <w:sz w:val="22"/>
          <w:szCs w:val="22"/>
        </w:rPr>
        <w:t xml:space="preserve">个人开源项目：AI 多智能体共享记忆总线系统（支持 Claude Code / Cursor / Codex 等工具共享一个记忆库，BM25+Dense 混合检索，检索延迟 &lt; 50ms / 100k tokens 库）。</w:t>
      </w:r>
    </w:p>
    <w:p>
      <w:pPr>
        <w:spacing w:after="0" w:before="120"/>
      </w:pPr>
    </w:p>
    <w:p>
      <w:pPr>
        <w:pStyle w:val="Heading2"/>
        <w:spacing w:after="160" w:before="280"/>
      </w:pPr>
      <w:r>
        <w:rPr>
          <w:rFonts w:ascii="Arial" w:eastAsia="Microsoft YaHei" w:hAnsi="Arial"/>
          <w:b/>
          <w:bCs/>
          <w:color w:val="16213e"/>
          <w:sz w:val="28"/>
          <w:szCs w:val="28"/>
        </w:rPr>
        <w:t xml:space="preserve">▌ 1.4 对法律科技与 AI 应用的理解</w:t>
      </w:r>
    </w:p>
    <w:p>
      <w:pPr>
        <w:pStyle w:val="Heading3"/>
        <w:spacing w:after="120" w:before="200"/>
      </w:pPr>
      <w:r>
        <w:rPr>
          <w:rFonts w:ascii="Arial" w:eastAsia="Microsoft YaHei" w:hAnsi="Arial"/>
          <w:b/>
          <w:bCs/>
          <w:color w:val="0f3460"/>
          <w:sz w:val="24"/>
          <w:szCs w:val="24"/>
        </w:rPr>
        <w:t xml:space="preserve">法律科技的核心价值在于降低信息不对称</w:t>
      </w:r>
    </w:p>
    <w:p>
      <w:pPr>
        <w:spacing w:after="60" w:before="60" w:line="360"/>
        <w:ind w:firstLine="480"/>
        <w:jc w:val="left"/>
      </w:pPr>
      <w:r>
        <w:rPr>
          <w:rFonts w:ascii="Arial" w:eastAsia="Microsoft YaHei" w:hAnsi="Arial"/>
          <w:b w:val="false"/>
          <w:bCs w:val="false"/>
          <w:color w:val="333333"/>
          <w:sz w:val="22"/>
          <w:szCs w:val="22"/>
        </w:rPr>
        <w:t xml:space="preserve">法律合规的本质挑战是信息密度与专业门槛之间的鸿沟：法规条文数以亿字，出海企业法务人员却需在极短时间内准确定位与自身产品相关的条款，并给出可操作的整改结论。传统路径依赖人工逐条阅读或外聘律师，效率低、成本高、且高度依赖个人经验。</w:t>
      </w:r>
    </w:p>
    <w:p>
      <w:pPr>
        <w:spacing w:after="60" w:before="60" w:line="360"/>
        <w:ind w:firstLine="480"/>
        <w:jc w:val="left"/>
      </w:pPr>
      <w:r>
        <w:rPr>
          <w:rFonts w:ascii="Arial" w:eastAsia="Microsoft YaHei" w:hAnsi="Arial"/>
          <w:b w:val="false"/>
          <w:bCs w:val="false"/>
          <w:color w:val="333333"/>
          <w:sz w:val="22"/>
          <w:szCs w:val="22"/>
        </w:rPr>
        <w:t xml:space="preserve">AI 的出现从根本上改变了这一局面。大语言模型在语义理解层面已接近专家水准，而 RAG（检索增强生成）技术则解决了幻觉与溯源问题——使 AI 不再是"猜答案"，而是"找证据后给结论"。这正是法律场景中 AI 落地的正确路径。</w:t>
      </w:r>
    </w:p>
    <w:p>
      <w:pPr>
        <w:pStyle w:val="Heading3"/>
        <w:spacing w:after="120" w:before="200"/>
      </w:pPr>
      <w:r>
        <w:rPr>
          <w:rFonts w:ascii="Arial" w:eastAsia="Microsoft YaHei" w:hAnsi="Arial"/>
          <w:b/>
          <w:bCs/>
          <w:color w:val="0f3460"/>
          <w:sz w:val="24"/>
          <w:szCs w:val="24"/>
        </w:rPr>
        <w:t xml:space="preserve">AI 应用的三个关键设计原则</w:t>
      </w:r>
    </w:p>
    <w:p>
      <w:pPr>
        <w:pStyle w:val="ListParagraph"/>
        <w:numPr>
          <w:ilvl w:val="0"/>
          <w:numId w:val="2"/>
        </w:numPr>
        <w:spacing w:after="40" w:before="40" w:line="360"/>
      </w:pPr>
      <w:r>
        <w:rPr>
          <w:rFonts w:ascii="Arial" w:eastAsia="Microsoft YaHei" w:hAnsi="Arial"/>
          <w:color w:val="333333"/>
          <w:sz w:val="22"/>
          <w:szCs w:val="22"/>
        </w:rPr>
        <w:t xml:space="preserve">可验证性优于流畅性：法律 AI 的输出必须附带精确条款引用，不能以大模型风格的流畅叙述掩盖无依据推断。我们在系统中设计了 NLI 硬门验证——当 AI 生成的结论无法在原始法规中找到对应引文时，系统拒绝输出，宁可返回【引用不足】也不允许幻觉通过。</w:t>
      </w:r>
    </w:p>
    <w:p>
      <w:pPr>
        <w:pStyle w:val="ListParagraph"/>
        <w:numPr>
          <w:ilvl w:val="0"/>
          <w:numId w:val="2"/>
        </w:numPr>
        <w:spacing w:after="40" w:before="40" w:line="360"/>
      </w:pPr>
      <w:r>
        <w:rPr>
          <w:rFonts w:ascii="Arial" w:eastAsia="Microsoft YaHei" w:hAnsi="Arial"/>
          <w:color w:val="333333"/>
          <w:sz w:val="22"/>
          <w:szCs w:val="22"/>
        </w:rPr>
        <w:t xml:space="preserve">领域知识与通用能力结合：纯粹的 LLM 缺乏对特定法规体系的深度理解；纯粹的规则引擎无法处理自然语言的歧义。正确的架构是：结构化法规知识库（语料工程）× 语义理解能力（LLM）× 逻辑验证（NLI / 规则）的三层融合。</w:t>
      </w:r>
    </w:p>
    <w:p>
      <w:pPr>
        <w:pStyle w:val="ListParagraph"/>
        <w:numPr>
          <w:ilvl w:val="0"/>
          <w:numId w:val="2"/>
        </w:numPr>
        <w:spacing w:after="40" w:before="40" w:line="360"/>
      </w:pPr>
      <w:r>
        <w:rPr>
          <w:rFonts w:ascii="Arial" w:eastAsia="Microsoft YaHei" w:hAnsi="Arial"/>
          <w:color w:val="333333"/>
          <w:sz w:val="22"/>
          <w:szCs w:val="22"/>
        </w:rPr>
        <w:t xml:space="preserve">以法务部为核心用户重新设计交互：法务人员不是程序员，AI 工具的价值必须体现在5分钟出报告、每条结论有法规支撑、整改步骤直接可用这一层面，而不是停留在概念演示。</w:t>
      </w:r>
    </w:p>
    <w:p>
      <w:pPr>
        <w:pStyle w:val="Heading3"/>
        <w:spacing w:after="120" w:before="200"/>
      </w:pPr>
      <w:r>
        <w:rPr>
          <w:rFonts w:ascii="Arial" w:eastAsia="Microsoft YaHei" w:hAnsi="Arial"/>
          <w:b/>
          <w:bCs/>
          <w:color w:val="0f3460"/>
          <w:sz w:val="24"/>
          <w:szCs w:val="24"/>
        </w:rPr>
        <w:t xml:space="preserve">法律 AI 的长期潜力</w:t>
      </w:r>
    </w:p>
    <w:p>
      <w:pPr>
        <w:spacing w:after="60" w:before="60" w:line="360"/>
        <w:ind w:firstLine="480"/>
        <w:jc w:val="left"/>
      </w:pPr>
      <w:r>
        <w:rPr>
          <w:rFonts w:ascii="Arial" w:eastAsia="Microsoft YaHei" w:hAnsi="Arial"/>
          <w:b w:val="false"/>
          <w:bCs w:val="false"/>
          <w:color w:val="333333"/>
          <w:sz w:val="22"/>
          <w:szCs w:val="22"/>
        </w:rPr>
        <w:t xml:space="preserve">随着《AI 法案》（EU AI Act）、GDPR 等法规的持续更新，以及中国出口管制体系的不断完善，合规窗口期越来越短，合规成本越来越高。法律 AI 的长期价值在于：构建持续更新的法规知识库，使企业能够以近乎零边际成本获得实时合规洞察，从而将法务团队从重复性条款梳理工作中解放，专注于战略决策与风险判断。</w:t>
      </w:r>
    </w:p>
    <w:p>
      <w:pPr>
        <w:spacing w:after="60" w:before="60" w:line="360"/>
        <w:ind w:firstLine="480"/>
        <w:jc w:val="left"/>
      </w:pPr>
      <w:r>
        <w:rPr>
          <w:rFonts w:ascii="Arial" w:eastAsia="Microsoft YaHei" w:hAnsi="Arial"/>
          <w:b w:val="false"/>
          <w:bCs w:val="false"/>
          <w:color w:val="333333"/>
          <w:sz w:val="22"/>
          <w:szCs w:val="22"/>
        </w:rPr>
        <w:t xml:space="preserve">据 LexisNexis 2025 年调查，88% 的中国内地法律专业人士已在工作中使用 AI 工具，较 2024 年提升 20 个百分点，律师及实习律师 AI 使用率高达 93%。Compliance Week 2024 年调查显示，56% 的合规专家已在使用 AI（较 2023 年的 41% 大幅提升），预计 2025 年采用率将超过 60%。AI 在法律合规领域的渗透正在加速。</w:t>
      </w:r>
    </w:p>
    <w:p>
      <w:r>
        <w:br w:type="page"/>
      </w:r>
    </w:p>
    <w:p>
      <w:pPr>
        <w:pStyle w:val="Heading1"/>
        <w:spacing w:after="200" w:before="360"/>
      </w:pPr>
      <w:r>
        <w:rPr>
          <w:rFonts w:ascii="Arial" w:eastAsia="Microsoft YaHei" w:hAnsi="Arial"/>
          <w:b/>
          <w:bCs/>
          <w:color w:val="1a1a2e"/>
          <w:sz w:val="32"/>
          <w:szCs w:val="32"/>
        </w:rPr>
        <w:t xml:space="preserve">二、作品创意方案</w:t>
      </w:r>
    </w:p>
    <w:p>
      <w:pPr>
        <w:pStyle w:val="Heading2"/>
        <w:spacing w:after="160" w:before="280"/>
      </w:pPr>
      <w:r>
        <w:rPr>
          <w:rFonts w:ascii="Arial" w:eastAsia="Microsoft YaHei" w:hAnsi="Arial"/>
          <w:b/>
          <w:bCs/>
          <w:color w:val="16213e"/>
          <w:sz w:val="28"/>
          <w:szCs w:val="28"/>
        </w:rPr>
        <w:t xml:space="preserve">▌ 2.1 作品基本信息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项目</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详情</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作品名称</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火鹰合规（Blaze Hawks Compliance）</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版本</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v0.2.0</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核心定位</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AI 驱动的出口合规风险智能扫描平台，服务于企业法务/合规部门</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目标用户</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出海制造/跨境电商企业的法务部、合规部；产品经理与外贸业务员（通过法务部授权使用）</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产品形态</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Web 应用（Next.js 全栈）+ RESTful API 服务（FastAPI + LangGraph RAG）</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当前状态</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MVP 已完成，核心 RAG 管线可运行，96个法规文件入库，约 15,000 个语义块索引完毕</w:t>
            </w:r>
          </w:p>
        </w:tc>
      </w:tr>
    </w:tbl>
    <w:p>
      <w:pPr>
        <w:spacing w:after="0" w:before="120"/>
      </w:pPr>
    </w:p>
    <w:p>
      <w:pPr>
        <w:pStyle w:val="Heading2"/>
        <w:spacing w:after="160" w:before="280"/>
      </w:pPr>
      <w:r>
        <w:rPr>
          <w:rFonts w:ascii="Arial" w:eastAsia="Microsoft YaHei" w:hAnsi="Arial"/>
          <w:b/>
          <w:bCs/>
          <w:color w:val="16213e"/>
          <w:sz w:val="28"/>
          <w:szCs w:val="28"/>
        </w:rPr>
        <w:t xml:space="preserve">▌ 2.2 应用场景：企业法务/合规部的核心痛点</w:t>
      </w:r>
    </w:p>
    <w:p>
      <w:pPr>
        <w:spacing w:after="60" w:before="60" w:line="360"/>
        <w:jc w:val="left"/>
      </w:pPr>
      <w:r>
        <w:rPr>
          <w:rFonts w:ascii="Arial" w:eastAsia="Microsoft YaHei" w:hAnsi="Arial"/>
          <w:b w:val="false"/>
          <w:bCs w:val="false"/>
          <w:color w:val="333333"/>
          <w:sz w:val="22"/>
          <w:szCs w:val="22"/>
        </w:rPr>
        <w:t xml:space="preserve">火鹰合规对准的核心场景：企业产品出海前，法务/合规部需完成跨市场合规审查。现实中，这一流程面临以下挑战：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痛点</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现状</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火鹰合规的解法</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法规数量庞大，难以全面覆盖</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16+ 市场，单 EU 法规超 4.7M 字符，人工逐条梳理需数天</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96 个法规文件已入库，覆盖 EU/US/CN/中东/东南亚，5 分钟内自动生成报告</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AI 输出幻觉风险，法律场景不可接受</w:t>
            </w:r>
          </w:p>
        </w:tc>
        <w:tc>
          <w:tcPr>
            <w:tcW w:type="dxa" w:w="34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大模型直接输出无法溯源，法务人员不敢采信</w:t>
            </w:r>
          </w:p>
        </w:tc>
        <w:tc>
          <w:tcPr>
            <w:tcW w:type="dxa" w:w="34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NLI 硬门验证：&lt; 3 条引用通过则拒绝输出，每条结论附精确条款编号+页码</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跨部门对齐困难，产品部门不懂合规术语</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法务写出的合规要求，产品/供应链团队无法转化为行动</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整改建议直接可操作：具体步骤、推荐实验室、预估费用、优先级排序</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新法规频繁更新，版本管理混乱</w:t>
            </w:r>
          </w:p>
        </w:tc>
        <w:tc>
          <w:tcPr>
            <w:tcW w:type="dxa" w:w="34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EU AI Act、新电池法等持续迭代，内部知识库往往滞后</w:t>
            </w:r>
          </w:p>
        </w:tc>
        <w:tc>
          <w:tcPr>
            <w:tcW w:type="dxa" w:w="34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语料库模块化设计，支持增量添加新法规，一键重建 FAISS 索引</w:t>
            </w:r>
          </w:p>
        </w:tc>
      </w:tr>
    </w:tbl>
    <w:p>
      <w:pPr>
        <w:spacing w:after="0" w:before="120"/>
      </w:pPr>
    </w:p>
    <w:p>
      <w:pPr>
        <w:spacing w:after="60" w:before="60" w:line="360"/>
        <w:jc w:val="left"/>
      </w:pPr>
      <w:r>
        <w:rPr>
          <w:rFonts w:ascii="Arial" w:eastAsia="Microsoft YaHei" w:hAnsi="Arial"/>
          <w:b w:val="false"/>
          <w:bCs w:val="false"/>
          <w:color w:val="333333"/>
          <w:sz w:val="22"/>
          <w:szCs w:val="22"/>
        </w:rPr>
        <w:t xml:space="preserve">具体使用场景举例：</w:t>
      </w:r>
    </w:p>
    <w:p>
      <w:pPr>
        <w:pStyle w:val="ListParagraph"/>
        <w:numPr>
          <w:ilvl w:val="0"/>
          <w:numId w:val="2"/>
        </w:numPr>
        <w:spacing w:after="40" w:before="40" w:line="360"/>
      </w:pPr>
      <w:r>
        <w:rPr>
          <w:rFonts w:ascii="Arial" w:eastAsia="Microsoft YaHei" w:hAnsi="Arial"/>
          <w:color w:val="333333"/>
          <w:sz w:val="22"/>
          <w:szCs w:val="22"/>
        </w:rPr>
        <w:t xml:space="preserve">场景 A（直接服务法务部）：法务部同事上传产品图片（如：充电宝），选择目标市场（EU + US），系统 5 分钟内输出含精确法规引用的合规风险报告，法务直接用于内审/合规审查存档。</w:t>
      </w:r>
    </w:p>
    <w:p>
      <w:pPr>
        <w:pStyle w:val="ListParagraph"/>
        <w:numPr>
          <w:ilvl w:val="0"/>
          <w:numId w:val="2"/>
        </w:numPr>
        <w:spacing w:after="40" w:before="40" w:line="360"/>
      </w:pPr>
      <w:r>
        <w:rPr>
          <w:rFonts w:ascii="Arial" w:eastAsia="Microsoft YaHei" w:hAnsi="Arial"/>
          <w:color w:val="333333"/>
          <w:sz w:val="22"/>
          <w:szCs w:val="22"/>
        </w:rPr>
        <w:t xml:space="preserve">场景 B（法务指导其他部门）：法务将系统授权给产品经理使用，产品经理可在新品立项阶段自查合规风险，法务审核最终报告，提前对齐合规要求，减少后期改版成本。</w:t>
      </w:r>
    </w:p>
    <w:p>
      <w:pPr>
        <w:pStyle w:val="ListParagraph"/>
        <w:numPr>
          <w:ilvl w:val="0"/>
          <w:numId w:val="2"/>
        </w:numPr>
        <w:spacing w:after="40" w:before="40" w:line="360"/>
      </w:pPr>
      <w:r>
        <w:rPr>
          <w:rFonts w:ascii="Arial" w:eastAsia="Microsoft YaHei" w:hAnsi="Arial"/>
          <w:color w:val="333333"/>
          <w:sz w:val="22"/>
          <w:szCs w:val="22"/>
        </w:rPr>
        <w:t xml:space="preserve">场景 C（对接外部供应商）：法务将标准化合规报告模板发给供应商，要求其按火鹰合规系统生成的整改清单完成认证，规范供应链合规管理。</w:t>
      </w:r>
    </w:p>
    <w:p>
      <w:pPr>
        <w:spacing w:after="0" w:before="120"/>
      </w:pPr>
    </w:p>
    <w:p>
      <w:pPr>
        <w:pStyle w:val="Heading2"/>
        <w:spacing w:after="160" w:before="280"/>
      </w:pPr>
      <w:r>
        <w:rPr>
          <w:rFonts w:ascii="Arial" w:eastAsia="Microsoft YaHei" w:hAnsi="Arial"/>
          <w:b/>
          <w:bCs/>
          <w:color w:val="16213e"/>
          <w:sz w:val="28"/>
          <w:szCs w:val="28"/>
        </w:rPr>
        <w:t xml:space="preserve">▌ 2.3 技术路径</w:t>
      </w:r>
    </w:p>
    <w:p>
      <w:pPr>
        <w:spacing w:after="60" w:before="60" w:line="360"/>
        <w:jc w:val="left"/>
      </w:pPr>
      <w:r>
        <w:rPr>
          <w:rFonts w:ascii="Arial" w:eastAsia="Microsoft YaHei" w:hAnsi="Arial"/>
          <w:b w:val="false"/>
          <w:bCs w:val="false"/>
          <w:color w:val="333333"/>
          <w:sz w:val="22"/>
          <w:szCs w:val="22"/>
        </w:rPr>
        <w:t xml:space="preserve">火鹰合规采用 多层 RAG + LangGraph Agentic 编排 架构，共 7 个处理节点：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cantSplit/>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步骤</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节点名称</w:t>
            </w:r>
          </w:p>
        </w:tc>
        <w:tc>
          <w:tcPr>
            <w:tcW w:type="dxa" w:w="6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核心功能说明</w:t>
            </w:r>
          </w:p>
        </w:tc>
      </w:tr>
      <w:tr>
        <w:trPr>
          <w:cantSplit/>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①</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Vision 分析</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上传产品图片 → Claude Vision API 自动识别产品类别（消费电子/玩具/纺织品/电池等），生成结构化产品描述，驱动后续查询规划</w:t>
            </w:r>
          </w:p>
        </w:tc>
      </w:tr>
      <w:tr>
        <w:trPr>
          <w:cantSplit/>
        </w:trP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②</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QueryPlanner</w:t>
            </w:r>
          </w:p>
        </w:tc>
        <w:tc>
          <w:tcPr>
            <w:tcW w:type="dxa" w:w="6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基于产品类别和目标市场，自动生成 3-5 个子查询（Sub-query），覆盖化学物质、电气安全、标签要求、进口资质等维度</w:t>
            </w:r>
          </w:p>
        </w:tc>
      </w:tr>
      <w:tr>
        <w:trPr>
          <w:cantSplit/>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③</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并行检索</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LangGraph Send() API 驱动多市场并行检索：FAISS 向量检索（Top-50）× BM25 稀疏检索（jieba 中文分词）→ RRF 融合（k=25）→ Must-Check 强制注入必检条款</w:t>
            </w:r>
          </w:p>
        </w:tc>
      </w:tr>
      <w:tr>
        <w:trPr>
          <w:cantSplit/>
        </w:trP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④</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Synthesis 汇聚</w:t>
            </w:r>
          </w:p>
        </w:tc>
        <w:tc>
          <w:tcPr>
            <w:tcW w:type="dxa" w:w="6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多市场结果合并、去重、区域过滤，Rerank 语义精排 Top-10，输出高质量候选 chunks</w:t>
            </w:r>
          </w:p>
        </w:tc>
      </w:tr>
      <w:tr>
        <w:trPr>
          <w:cantSplit/>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⑤</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Generator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Claude LLM 基于候选 chunks 生成结构化合规报告，按风险等级（高/中/低）分类，每条结论必须附 Article No. + 页码引用</w:t>
            </w:r>
          </w:p>
        </w:tc>
      </w:tr>
      <w:tr>
        <w:trPr>
          <w:cantSplit/>
        </w:trP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⑥</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CitationVerifier</w:t>
            </w:r>
          </w:p>
        </w:tc>
        <w:tc>
          <w:tcPr>
            <w:tcW w:type="dxa" w:w="6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NLI 硬门验证：交叉比对报告引用与原始 chunk 内容，≥ 3 条通过 → PASS；1-2 条 → WARN；0 条 → 拒绝输出，触发重生成</w:t>
            </w:r>
          </w:p>
        </w:tc>
      </w:tr>
      <w:tr>
        <w:trPr>
          <w:cantSplit/>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⑦</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Refiner（HyDE）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若引用不足，自动重写查询（Hypothetical Document Embedding 风格），最多循环 2 轮重检索，确保最终报告质量</w:t>
            </w:r>
          </w:p>
        </w:tc>
      </w:tr>
    </w:tbl>
    <w:p>
      <w:pPr>
        <w:spacing w:after="0" w:before="120"/>
      </w:pPr>
    </w:p>
    <w:p>
      <w:pPr>
        <w:pStyle w:val="Heading3"/>
        <w:spacing w:after="120" w:before="200"/>
      </w:pPr>
      <w:r>
        <w:rPr>
          <w:rFonts w:ascii="Arial" w:eastAsia="Microsoft YaHei" w:hAnsi="Arial"/>
          <w:b/>
          <w:bCs/>
          <w:color w:val="0f3460"/>
          <w:sz w:val="24"/>
          <w:szCs w:val="24"/>
        </w:rPr>
        <w:t xml:space="preserve">关键技术创新点</w:t>
      </w:r>
    </w:p>
    <w:p>
      <w:pPr>
        <w:pStyle w:val="ListParagraph"/>
        <w:numPr>
          <w:ilvl w:val="0"/>
          <w:numId w:val="2"/>
        </w:numPr>
        <w:spacing w:after="40" w:before="40" w:line="360"/>
      </w:pPr>
      <w:r>
        <w:rPr>
          <w:rFonts w:ascii="Arial" w:eastAsia="Microsoft YaHei" w:hAnsi="Arial"/>
          <w:color w:val="333333"/>
          <w:sz w:val="22"/>
          <w:szCs w:val="22"/>
        </w:rPr>
        <w:t xml:space="preserve">Parent-Child 双层分块：Child Chunk（200-300 tokens）按 Article/条 边界切分用于精确向量检索；Parent Chunk（800-1000 tokens）保留 2-4 个相邻条款的完整语境供 LLM 推理，兼顾召回精度与上下文完整性。</w:t>
      </w:r>
    </w:p>
    <w:p>
      <w:pPr>
        <w:pStyle w:val="ListParagraph"/>
        <w:numPr>
          <w:ilvl w:val="0"/>
          <w:numId w:val="2"/>
        </w:numPr>
        <w:spacing w:after="40" w:before="40" w:line="360"/>
      </w:pPr>
      <w:r>
        <w:rPr>
          <w:rFonts w:ascii="Arial" w:eastAsia="Microsoft YaHei" w:hAnsi="Arial"/>
          <w:color w:val="333333"/>
          <w:sz w:val="22"/>
          <w:szCs w:val="22"/>
        </w:rPr>
        <w:t xml:space="preserve">三级 Embedding 降级策略（零 API 依赖）：本地 Ollama（nomic-embed-text）→ 本地 Qwen3-Embedding-0.6B → ModelScope Cloud API，无网络或无 API Key 时自动降级，确保系统在任何环境下可用。</w:t>
      </w:r>
    </w:p>
    <w:p>
      <w:pPr>
        <w:pStyle w:val="ListParagraph"/>
        <w:numPr>
          <w:ilvl w:val="0"/>
          <w:numId w:val="2"/>
        </w:numPr>
        <w:spacing w:after="40" w:before="40" w:line="360"/>
      </w:pPr>
      <w:r>
        <w:rPr>
          <w:rFonts w:ascii="Arial" w:eastAsia="Microsoft YaHei" w:hAnsi="Arial"/>
          <w:color w:val="333333"/>
          <w:sz w:val="22"/>
          <w:szCs w:val="22"/>
        </w:rPr>
        <w:t xml:space="preserve">Must-Check 强制注入机制：不同产品类别（电子/玩具/电池/纺织品）预定义必检法规，即使向量相似度为零也强制注入，防止遗漏对企业影响最大的高风险条款（如 RoHS 重金属限值）。</w:t>
      </w:r>
    </w:p>
    <w:p>
      <w:pPr>
        <w:pStyle w:val="ListParagraph"/>
        <w:numPr>
          <w:ilvl w:val="0"/>
          <w:numId w:val="2"/>
        </w:numPr>
        <w:spacing w:after="40" w:before="40" w:line="360"/>
      </w:pPr>
      <w:r>
        <w:rPr>
          <w:rFonts w:ascii="Arial" w:eastAsia="Microsoft YaHei" w:hAnsi="Arial"/>
          <w:color w:val="333333"/>
          <w:sz w:val="22"/>
          <w:szCs w:val="22"/>
        </w:rPr>
        <w:t xml:space="preserve">NLI 引用验证硬门：这是区别于市场上同类产品的核心差异——系统宁可拒绝输出也不允许无依据的合规结论通过，从根本上解决法律 AI 的幻觉风险。</w:t>
      </w:r>
    </w:p>
    <w:p>
      <w:pPr>
        <w:spacing w:after="0" w:before="120"/>
      </w:pPr>
    </w:p>
    <w:p>
      <w:pPr>
        <w:pStyle w:val="Heading2"/>
        <w:spacing w:after="160" w:before="280"/>
      </w:pPr>
      <w:r>
        <w:rPr>
          <w:rFonts w:ascii="Arial" w:eastAsia="Microsoft YaHei" w:hAnsi="Arial"/>
          <w:b/>
          <w:bCs/>
          <w:color w:val="16213e"/>
          <w:sz w:val="28"/>
          <w:szCs w:val="28"/>
        </w:rPr>
        <w:t xml:space="preserve">▌ 2.4 法规语料库：数据基础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200"/>
        <w:gridCol w:w="2400"/>
      </w:tblGrid>
      <w:tr>
        <w:trPr>
          <w:cantSplit/>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市场</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主要覆盖法规</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文件数</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语料规模</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欧盟（EU）</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REACH、RoHS、GPSR、RED、DSA、DMA、GDPR、EU AI Act 等</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53个</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4.7M 字符</w:t>
            </w:r>
          </w:p>
        </w:tc>
      </w:tr>
      <w:tr>
        <w:trPr>
          <w:cantSplit/>
        </w:trP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美国（US）</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FCC、CPSIA、TSCA、DOT、UL 标准</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9个</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3.6M 字符</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中国（CN）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出口管制法、两用物项管理条例、境外投资管理办法</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34个</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2.1M 字符</w:t>
            </w:r>
          </w:p>
        </w:tc>
      </w:tr>
      <w:tr>
        <w:trPr>
          <w:cantSplit/>
        </w:trP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中东/其他</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阿联酋、沙迦、沙特、巴西、东南亚各国合规要求</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若干</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2M+ 字符</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合计</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覆盖 16+ 目标市场，消费电子/玩具/纺织品/电池等多品类</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96个</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12M+ 字符</w:t>
            </w:r>
          </w:p>
        </w:tc>
      </w:tr>
    </w:tbl>
    <w:p>
      <w:pPr>
        <w:spacing w:after="60" w:before="60" w:line="360"/>
        <w:jc w:val="left"/>
      </w:pPr>
      <w:r>
        <w:rPr>
          <w:rFonts w:ascii="Arial" w:eastAsia="Microsoft YaHei" w:hAnsi="Arial"/>
          <w:b w:val="false"/>
          <w:bCs w:val="false"/>
          <w:color w:val="333333"/>
          <w:sz w:val="22"/>
          <w:szCs w:val="22"/>
        </w:rPr>
        <w:t xml:space="preserve">向量索引：FAISS（Qwen3-Embedding，1024 维），约 15,000 个语义块，索引文件 ~41MB，支持毫秒级检索。</w:t>
      </w:r>
    </w:p>
    <w:p>
      <w:pPr>
        <w:spacing w:after="0" w:before="120"/>
      </w:pPr>
    </w:p>
    <w:p>
      <w:pPr>
        <w:pStyle w:val="Heading2"/>
        <w:spacing w:after="160" w:before="280"/>
      </w:pPr>
      <w:r>
        <w:rPr>
          <w:rFonts w:ascii="Arial" w:eastAsia="Microsoft YaHei" w:hAnsi="Arial"/>
          <w:b/>
          <w:bCs/>
          <w:color w:val="16213e"/>
          <w:sz w:val="28"/>
          <w:szCs w:val="28"/>
        </w:rPr>
        <w:t xml:space="preserve">▌ 2.5 预期价值</w:t>
      </w:r>
    </w:p>
    <w:p>
      <w:pPr>
        <w:pStyle w:val="Heading3"/>
        <w:spacing w:after="120" w:before="200"/>
      </w:pPr>
      <w:r>
        <w:rPr>
          <w:rFonts w:ascii="Arial" w:eastAsia="Microsoft YaHei" w:hAnsi="Arial"/>
          <w:b/>
          <w:bCs/>
          <w:color w:val="0f3460"/>
          <w:sz w:val="24"/>
          <w:szCs w:val="24"/>
        </w:rPr>
        <w:t xml:space="preserve">对企业法务/合规部的直接价值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价值维度</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传统方式</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火鹰合规</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单次合规审查时间</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3-5 天（人工逐条梳理）</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&lt; 5 分钟（AI 自动扫描）</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法规覆盖广度</w:t>
            </w:r>
          </w:p>
        </w:tc>
        <w:tc>
          <w:tcPr>
            <w:tcW w:type="dxa" w:w="34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依赖法务人员记忆与经验</w:t>
            </w:r>
          </w:p>
        </w:tc>
        <w:tc>
          <w:tcPr>
            <w:tcW w:type="dxa" w:w="34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96 个文件，系统化全覆盖</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结论可信度</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人工判断，难以留痕</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每条结论精确引用条款编号+页码</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整改可操作性</w:t>
            </w:r>
          </w:p>
        </w:tc>
        <w:tc>
          <w:tcPr>
            <w:tcW w:type="dxa" w:w="34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概念性建议，执行困难</w:t>
            </w:r>
          </w:p>
        </w:tc>
        <w:tc>
          <w:tcPr>
            <w:tcW w:type="dxa" w:w="34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具体步骤+推荐实验室+预估费用</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跨部门对齐成本</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法务需反复解释，沟通成本极高</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标准化报告直接分发，信息同步即时完成</w:t>
            </w:r>
          </w:p>
        </w:tc>
      </w:tr>
    </w:tbl>
    <w:p>
      <w:pPr>
        <w:spacing w:after="0" w:before="120"/>
      </w:pPr>
    </w:p>
    <w:p>
      <w:pPr>
        <w:pStyle w:val="Heading3"/>
        <w:spacing w:after="120" w:before="200"/>
      </w:pPr>
      <w:r>
        <w:rPr>
          <w:rFonts w:ascii="Arial" w:eastAsia="Microsoft YaHei" w:hAnsi="Arial"/>
          <w:b/>
          <w:bCs/>
          <w:color w:val="0f3460"/>
          <w:sz w:val="24"/>
          <w:szCs w:val="24"/>
        </w:rPr>
        <w:t xml:space="preserve">对行业的长远影响</w:t>
      </w:r>
    </w:p>
    <w:p>
      <w:pPr>
        <w:pStyle w:val="ListParagraph"/>
        <w:numPr>
          <w:ilvl w:val="0"/>
          <w:numId w:val="2"/>
        </w:numPr>
        <w:spacing w:after="40" w:before="40" w:line="360"/>
      </w:pPr>
      <w:r>
        <w:rPr>
          <w:rFonts w:ascii="Arial" w:eastAsia="Microsoft YaHei" w:hAnsi="Arial"/>
          <w:color w:val="333333"/>
          <w:sz w:val="22"/>
          <w:szCs w:val="22"/>
        </w:rPr>
        <w:t xml:space="preserve">合规普惠化：中小出海企业无力支付高额合规咨询费，火鹰合规将专业合规能力以低成本 SaaS 形式普及，填补行业空白。</w:t>
      </w:r>
    </w:p>
    <w:p>
      <w:pPr>
        <w:pStyle w:val="ListParagraph"/>
        <w:numPr>
          <w:ilvl w:val="0"/>
          <w:numId w:val="2"/>
        </w:numPr>
        <w:spacing w:after="40" w:before="40" w:line="360"/>
      </w:pPr>
      <w:r>
        <w:rPr>
          <w:rFonts w:ascii="Arial" w:eastAsia="Microsoft YaHei" w:hAnsi="Arial"/>
          <w:color w:val="333333"/>
          <w:sz w:val="22"/>
          <w:szCs w:val="22"/>
        </w:rPr>
        <w:t xml:space="preserve">动态合规跟踪：法规持续更新（EU AI Act 2027 年全面实施、新电池法分阶段生效），平台语料库可持续迭代，法务部无需手动跟踪法规变更。</w:t>
      </w:r>
    </w:p>
    <w:p>
      <w:pPr>
        <w:pStyle w:val="ListParagraph"/>
        <w:numPr>
          <w:ilvl w:val="0"/>
          <w:numId w:val="2"/>
        </w:numPr>
        <w:spacing w:after="40" w:before="40" w:line="360"/>
      </w:pPr>
      <w:r>
        <w:rPr>
          <w:rFonts w:ascii="Arial" w:eastAsia="Microsoft YaHei" w:hAnsi="Arial"/>
          <w:color w:val="333333"/>
          <w:sz w:val="22"/>
          <w:szCs w:val="22"/>
        </w:rPr>
        <w:t xml:space="preserve">数据资产沉淀：随着扫描案例积累，系统可建立企业级合规知识库，沉淀行业 Know-How，形成竞争壁垒。</w:t>
      </w:r>
    </w:p>
    <w:p>
      <w:pPr>
        <w:spacing w:after="0" w:before="120"/>
      </w:pPr>
    </w:p>
    <w:p>
      <w:pPr>
        <w:pStyle w:val="Heading2"/>
        <w:spacing w:after="160" w:before="280"/>
      </w:pPr>
      <w:r>
        <w:rPr>
          <w:rFonts w:ascii="Arial" w:eastAsia="Microsoft YaHei" w:hAnsi="Arial"/>
          <w:b/>
          <w:bCs/>
          <w:color w:val="16213e"/>
          <w:sz w:val="28"/>
          <w:szCs w:val="28"/>
        </w:rPr>
        <w:t xml:space="preserve">▌ 2.6 成本投入分析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cantSplit/>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成本类型</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具体项目</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月均估算</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LLM API 成本</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Claude Sonnet 4（主力生成）；本地 Ollama 承担 Embedding/Rerank，大幅降低 API 调用量</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¥ 200-500 / 月（中小规模调用）</w:t>
            </w:r>
          </w:p>
        </w:tc>
      </w:tr>
      <w:tr>
        <w:trPr>
          <w:cantSplit/>
        </w:trP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基础设施</w:t>
            </w:r>
          </w:p>
        </w:tc>
        <w:tc>
          <w:tcPr>
            <w:tcW w:type="dxa" w:w="4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Vercel（前端免费额度）+ Railway / VPS（后端）+ 无需 GPU（本地 CPU Embedding）</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¥ 100-300 / 月</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法规数据来源</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EU EUR-Lex（公开）、美国 FCC/CPSC 官网（公开）、中国商务部官网（公开），均为免费来源</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¥ 0（公开法规）</w:t>
            </w:r>
          </w:p>
        </w:tc>
      </w:tr>
      <w:tr>
        <w:trPr>
          <w:cantSplit/>
        </w:trP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人力成本</w:t>
            </w:r>
          </w:p>
        </w:tc>
        <w:tc>
          <w:tcPr>
            <w:tcW w:type="dxa" w:w="4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当前为个人独立开发，MVP 阶段已完成核心架构</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 （个人项目）</w:t>
            </w:r>
          </w:p>
        </w:tc>
      </w:tr>
      <w:tr>
        <w:trPr>
          <w:cantSplit/>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合计</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MVP 阶段月运营成本极低，具备优秀的冷启动经济性</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¥ 300-800 / 月</w:t>
            </w:r>
          </w:p>
        </w:tc>
      </w:tr>
    </w:tbl>
    <w:p>
      <w:pPr>
        <w:spacing w:after="60" w:before="60" w:line="360"/>
        <w:jc w:val="left"/>
      </w:pPr>
      <w:r>
        <w:rPr>
          <w:rFonts w:ascii="Arial" w:eastAsia="Microsoft YaHei" w:hAnsi="Arial"/>
          <w:b w:val="false"/>
          <w:bCs w:val="false"/>
          <w:color w:val="333333"/>
          <w:sz w:val="22"/>
          <w:szCs w:val="22"/>
        </w:rPr>
        <w:t xml:space="preserve">成本控制亮点：三级 Embedding 降级策略（本地优先），在无 API Key 情况下系统仍可正常运行，大幅降低对外部服务的依赖和成本。Demo 模式支持零 API 成本演示。</w:t>
      </w:r>
    </w:p>
    <w:p>
      <w:pPr>
        <w:spacing w:after="0" w:before="120"/>
      </w:pPr>
    </w:p>
    <w:p>
      <w:pPr>
        <w:pStyle w:val="Heading2"/>
        <w:spacing w:after="160" w:before="280"/>
      </w:pPr>
      <w:r>
        <w:rPr>
          <w:rFonts w:ascii="Arial" w:eastAsia="Microsoft YaHei" w:hAnsi="Arial"/>
          <w:b/>
          <w:bCs/>
          <w:color w:val="16213e"/>
          <w:sz w:val="28"/>
          <w:szCs w:val="28"/>
        </w:rPr>
        <w:t xml:space="preserve">▌ 2.7 发展潜力与商业路径</w:t>
      </w:r>
    </w:p>
    <w:p>
      <w:pPr>
        <w:pStyle w:val="Heading3"/>
        <w:spacing w:after="120" w:before="200"/>
      </w:pPr>
      <w:r>
        <w:rPr>
          <w:rFonts w:ascii="Arial" w:eastAsia="Microsoft YaHei" w:hAnsi="Arial"/>
          <w:b/>
          <w:bCs/>
          <w:color w:val="0f3460"/>
          <w:sz w:val="24"/>
          <w:szCs w:val="24"/>
        </w:rPr>
        <w:t xml:space="preserve">市场机遇</w:t>
      </w:r>
    </w:p>
    <w:p>
      <w:pPr>
        <w:spacing w:after="60" w:before="60" w:line="360"/>
        <w:jc w:val="left"/>
      </w:pPr>
      <w:r>
        <w:rPr>
          <w:rFonts w:ascii="Arial" w:eastAsia="Microsoft YaHei" w:hAnsi="Arial"/>
          <w:b w:val="false"/>
          <w:bCs w:val="false"/>
          <w:color w:val="333333"/>
          <w:sz w:val="22"/>
          <w:szCs w:val="22"/>
        </w:rPr>
        <w:t xml:space="preserve">中国跨境出口企业面临日益严格的目的国合规要求，合规咨询市场规模快速扩张，传统法律服务无法满足中小企业的速度与成本需求。以下为深度市场分析：</w:t>
      </w:r>
    </w:p>
    <w:p>
      <w:pPr>
        <w:spacing w:after="60" w:before="120" w:line="360"/>
        <w:jc w:val="left"/>
      </w:pPr>
      <w:r>
        <w:rPr>
          <w:rFonts w:ascii="Arial" w:eastAsia="Microsoft YaHei" w:hAnsi="Arial"/>
          <w:b/>
          <w:bCs/>
          <w:color w:val="333333"/>
          <w:sz w:val="22"/>
          <w:szCs w:val="22"/>
        </w:rPr>
        <w:t xml:space="preserve">1. 跨境电商市场规模持续高速增长</w:t>
      </w:r>
    </w:p>
    <w:p>
      <w:pPr>
        <w:spacing w:after="60" w:before="60" w:line="360"/>
        <w:ind w:firstLine="480"/>
        <w:jc w:val="left"/>
      </w:pPr>
      <w:r>
        <w:rPr>
          <w:rFonts w:ascii="Arial" w:eastAsia="Microsoft YaHei" w:hAnsi="Arial"/>
          <w:b w:val="false"/>
          <w:bCs w:val="false"/>
          <w:color w:val="333333"/>
          <w:sz w:val="22"/>
          <w:szCs w:val="22"/>
        </w:rPr>
        <w:t xml:space="preserve">据海关总署数据，2024 年中国跨境电商进出口总额达 2.75 万亿元，同比增长 15.5%，其中出口规模达 2.15 万亿元，同比增长 16.9%。2025 年上半年进出口总额达 1.37 万亿元，同比增长 10.3%。广义口径（含传统外贸数字化交易）2024 年达 17.66 万亿元，占我国货物贸易进出口总值的 40.27%。</w:t>
      </w:r>
    </w:p>
    <w:p>
      <w:pPr>
        <w:spacing w:after="60" w:before="60" w:line="360"/>
        <w:ind w:firstLine="480"/>
        <w:jc w:val="left"/>
      </w:pPr>
      <w:r>
        <w:rPr>
          <w:rFonts w:ascii="Arial" w:eastAsia="Microsoft YaHei" w:hAnsi="Arial"/>
          <w:b w:val="false"/>
          <w:bCs w:val="false"/>
          <w:color w:val="333333"/>
          <w:sz w:val="22"/>
          <w:szCs w:val="22"/>
        </w:rPr>
        <w:t xml:space="preserve">跨境电商 B2B 模式占主导地位（63.2%），2025 年规模约 9.99 万亿元，同比增长 16.8%。商务部研究院预测，中国跨境电商 B2B 交易额将在 2025 年增至 15 万亿元，并于 2030 年突破 30 万亿元。</w:t>
      </w:r>
    </w:p>
    <w:p>
      <w:pPr>
        <w:spacing w:after="60" w:before="120" w:line="360"/>
        <w:jc w:val="left"/>
      </w:pPr>
      <w:r>
        <w:rPr>
          <w:rFonts w:ascii="Arial" w:eastAsia="Microsoft YaHei" w:hAnsi="Arial"/>
          <w:b/>
          <w:bCs/>
          <w:color w:val="333333"/>
          <w:sz w:val="22"/>
          <w:szCs w:val="22"/>
        </w:rPr>
        <w:t xml:space="preserve">2. 合规服务市场快速扩张</w:t>
      </w:r>
    </w:p>
    <w:p>
      <w:pPr>
        <w:spacing w:after="60" w:before="60" w:line="360"/>
        <w:ind w:firstLine="480"/>
        <w:jc w:val="left"/>
      </w:pPr>
      <w:r>
        <w:rPr>
          <w:rFonts w:ascii="Arial" w:eastAsia="Microsoft YaHei" w:hAnsi="Arial"/>
          <w:b w:val="false"/>
          <w:bCs w:val="false"/>
          <w:color w:val="333333"/>
          <w:sz w:val="22"/>
          <w:szCs w:val="22"/>
        </w:rPr>
        <w:t xml:space="preserve">全球 GRC（治理、风险与合规）市场 2024 年规模达 629.2 亿美元（约 4550 亿元人民币），预计 2030 年达 1349.6 亿美元，年复合增长率（CAGR）13.2%（Grand View Research）。中国法律科技市场 2024 年约 80 亿元，2025 年预计突破 100 亿元，年复合增长率超 30%（艾瑞咨询）。中国 AI+法律服务市场 2024 年约 450 亿元，其中企业级法律服务（法务、合规管理、知识产权等）占比约 42%，约 189 亿元。</w:t>
      </w:r>
    </w:p>
    <w:p>
      <w:pPr>
        <w:spacing w:after="60" w:before="60" w:line="360"/>
        <w:ind w:firstLine="480"/>
        <w:jc w:val="left"/>
      </w:pPr>
      <w:r>
        <w:rPr>
          <w:rFonts w:ascii="Arial" w:eastAsia="Microsoft YaHei" w:hAnsi="Arial"/>
          <w:b w:val="false"/>
          <w:bCs w:val="false"/>
          <w:color w:val="333333"/>
          <w:sz w:val="22"/>
          <w:szCs w:val="22"/>
        </w:rPr>
        <w:t xml:space="preserve">中国出口合规服务市场 2024 年约 147.3 亿元，2025 年预计达 166.2 亿元，同比增长 12.8%。中国智能外贸咨询行业规模预计从 2025 年的 280 亿元增长至 2030 年的 620 亿元，五年复合增长率达 17.2%。</w:t>
      </w:r>
    </w:p>
    <w:p>
      <w:pPr>
        <w:spacing w:after="60" w:before="120" w:line="360"/>
        <w:jc w:val="left"/>
      </w:pPr>
      <w:r>
        <w:rPr>
          <w:rFonts w:ascii="Arial" w:eastAsia="Microsoft YaHei" w:hAnsi="Arial"/>
          <w:b/>
          <w:bCs/>
          <w:color w:val="333333"/>
          <w:sz w:val="22"/>
          <w:szCs w:val="22"/>
        </w:rPr>
        <w:t xml:space="preserve">3. 合规投入严重不足，增量空间巨大</w:t>
      </w:r>
    </w:p>
    <w:p>
      <w:pPr>
        <w:spacing w:after="60" w:before="60" w:line="360"/>
        <w:ind w:firstLine="480"/>
        <w:jc w:val="left"/>
      </w:pPr>
      <w:r>
        <w:rPr>
          <w:rFonts w:ascii="Arial" w:eastAsia="Microsoft YaHei" w:hAnsi="Arial"/>
          <w:b w:val="false"/>
          <w:bCs w:val="false"/>
          <w:color w:val="333333"/>
          <w:sz w:val="22"/>
          <w:szCs w:val="22"/>
        </w:rPr>
        <w:t xml:space="preserve">中国出海企业合规投入占海外营收比例普遍低于 3%，远低于国际建议的 5%-8% 基准线。然而，合规失误导致的损失可达营收的 5%，约 35% 的出海企业因合规问题遭遇过不同程度的法律诉讼或行政处罚。这一"投入不足 vs 损失巨大"的矛盾，正是合规 SaaS 产品的核心市场机会。</w:t>
      </w:r>
    </w:p>
    <w:p>
      <w:pPr>
        <w:spacing w:after="60" w:before="120" w:line="360"/>
        <w:jc w:val="left"/>
      </w:pPr>
      <w:r>
        <w:rPr>
          <w:rFonts w:ascii="Arial" w:eastAsia="Microsoft YaHei" w:hAnsi="Arial"/>
          <w:b/>
          <w:bCs/>
          <w:color w:val="333333"/>
          <w:sz w:val="22"/>
          <w:szCs w:val="22"/>
        </w:rPr>
        <w:t xml:space="preserve">4. 合规人才缺口持续扩大</w:t>
      </w:r>
    </w:p>
    <w:p>
      <w:pPr>
        <w:spacing w:after="60" w:before="60" w:line="360"/>
        <w:ind w:firstLine="480"/>
        <w:jc w:val="left"/>
      </w:pPr>
      <w:r>
        <w:rPr>
          <w:rFonts w:ascii="Arial" w:eastAsia="Microsoft YaHei" w:hAnsi="Arial"/>
          <w:b w:val="false"/>
          <w:bCs w:val="false"/>
          <w:color w:val="333333"/>
          <w:sz w:val="22"/>
          <w:szCs w:val="22"/>
        </w:rPr>
        <w:t xml:space="preserve">2024 年合规岗位需求同比增长 58%，但供给仅增长 32%，"技术+合规"复合型人才缺口达 65%。大型企业跨境合规岗位缺口超 5 万个，优质候选人供需比不足 1:8，跨境合规岗位平均年薪 30-60 万元。法务团队 70% 精力消耗在重复性合同审查等机械工作中（法大大数据），AI 赋能合规的紧迫性日益凸显。</w:t>
      </w:r>
    </w:p>
    <w:p>
      <w:pPr>
        <w:spacing w:after="60" w:before="120" w:line="360"/>
        <w:jc w:val="left"/>
      </w:pPr>
      <w:r>
        <w:rPr>
          <w:rFonts w:ascii="Arial" w:eastAsia="Microsoft YaHei" w:hAnsi="Arial"/>
          <w:b/>
          <w:bCs/>
          <w:color w:val="333333"/>
          <w:sz w:val="22"/>
          <w:szCs w:val="22"/>
        </w:rPr>
        <w:t xml:space="preserve">5. 违规处罚力度空前，合规刚需化</w:t>
      </w:r>
    </w:p>
    <w:p>
      <w:pPr>
        <w:spacing w:after="60" w:before="60" w:line="360"/>
        <w:ind w:firstLine="480"/>
        <w:jc w:val="left"/>
      </w:pPr>
      <w:r>
        <w:rPr>
          <w:rFonts w:ascii="Arial" w:eastAsia="Microsoft YaHei" w:hAnsi="Arial"/>
          <w:b w:val="false"/>
          <w:bCs w:val="false"/>
          <w:color w:val="333333"/>
          <w:sz w:val="22"/>
          <w:szCs w:val="22"/>
        </w:rPr>
        <w:t xml:space="preserve">GDPR 全球执法累计处罚总额已突破 56.5 亿欧元（约 440 亿元人民币），累计处罚案例达 2,314 起。中国出海企业近年频遭高额处罚：TikTok 被罚 5.3 亿欧元（数据跨境传输违规）、SHEIN 被法国处以 4000 万欧元罚款（欺诈性商业行为）、Temu 被韩国 PIPC 处以 13.69 亿韩元罚款。EU REACH 2024 年联合执法中，中国产品违规案例约 277 例，占总数的 68%，88% 违规货物被禁止进入欧盟市场或被销毁。</w:t>
      </w:r>
    </w:p>
    <w:p>
      <w:pPr>
        <w:spacing w:after="0" w:before="120"/>
      </w:pPr>
    </w:p>
    <w:p>
      <w:pPr>
        <w:pStyle w:val="Heading3"/>
        <w:spacing w:after="120" w:before="200"/>
      </w:pPr>
      <w:r>
        <w:rPr>
          <w:rFonts w:ascii="Arial" w:eastAsia="Microsoft YaHei" w:hAnsi="Arial"/>
          <w:b/>
          <w:bCs/>
          <w:color w:val="0f3460"/>
          <w:sz w:val="24"/>
          <w:szCs w:val="24"/>
        </w:rPr>
        <w:t xml:space="preserve">法规政策环境与相关性分析</w:t>
      </w:r>
    </w:p>
    <w:p>
      <w:pPr>
        <w:spacing w:after="60" w:before="60" w:line="360"/>
        <w:jc w:val="left"/>
      </w:pPr>
      <w:r>
        <w:rPr>
          <w:rFonts w:ascii="Arial" w:eastAsia="Microsoft YaHei" w:hAnsi="Arial"/>
          <w:b w:val="false"/>
          <w:bCs w:val="false"/>
          <w:color w:val="333333"/>
          <w:sz w:val="22"/>
          <w:szCs w:val="22"/>
        </w:rPr>
        <w:t xml:space="preserve">火鹰合规所覆盖的法规体系正处于密集更新期，多项关键法规将在 2025-2027 年分阶段实施，这为合规自动化工具创造了迫切的市场需求：</w:t>
      </w:r>
    </w:p>
    <w:p>
      <w:pPr>
        <w:spacing w:after="60" w:before="100" w:line="360"/>
        <w:jc w:val="left"/>
      </w:pPr>
      <w:r>
        <w:rPr>
          <w:rFonts w:ascii="Arial" w:eastAsia="Microsoft YaHei" w:hAnsi="Arial"/>
          <w:b/>
          <w:bCs/>
          <w:color w:val="333333"/>
          <w:sz w:val="22"/>
          <w:szCs w:val="22"/>
        </w:rPr>
        <w:t xml:space="preserve">EU AI Act（欧盟人工智能法案）</w:t>
      </w:r>
    </w:p>
    <w:p>
      <w:pPr>
        <w:spacing w:after="60" w:before="60" w:line="360"/>
        <w:ind w:firstLine="480"/>
        <w:jc w:val="left"/>
      </w:pPr>
      <w:r>
        <w:rPr>
          <w:rFonts w:ascii="Arial" w:eastAsia="Microsoft YaHei" w:hAnsi="Arial"/>
          <w:b w:val="false"/>
          <w:bCs w:val="false"/>
          <w:color w:val="333333"/>
          <w:sz w:val="22"/>
          <w:szCs w:val="22"/>
        </w:rPr>
        <w:t xml:space="preserve">2024 年 8 月 1 日正式生效，分阶段实施至 2027 年 8 月。2025 年 2 月起禁止性 AI 实践生效；2025 年 8 月起通用目的 AI 模型规则适用；2026 年 8 月起高风险 AI 系统规则全面执法。最高罚款可达 3500 万欧元或全球年营业额 7%。对中国 AI 企业和智能产品出海构成直接合规要求，火鹰合规的法规库已覆盖该法案。</w:t>
      </w:r>
    </w:p>
    <w:p>
      <w:pPr>
        <w:spacing w:after="60" w:before="100" w:line="360"/>
        <w:jc w:val="left"/>
      </w:pPr>
      <w:r>
        <w:rPr>
          <w:rFonts w:ascii="Arial" w:eastAsia="Microsoft YaHei" w:hAnsi="Arial"/>
          <w:b/>
          <w:bCs/>
          <w:color w:val="333333"/>
          <w:sz w:val="22"/>
          <w:szCs w:val="22"/>
        </w:rPr>
        <w:t xml:space="preserve">GPSR（欧盟通用产品安全法规）</w:t>
      </w:r>
    </w:p>
    <w:p>
      <w:pPr>
        <w:spacing w:after="60" w:before="60" w:line="360"/>
        <w:ind w:firstLine="480"/>
        <w:jc w:val="left"/>
      </w:pPr>
      <w:r>
        <w:rPr>
          <w:rFonts w:ascii="Arial" w:eastAsia="Microsoft YaHei" w:hAnsi="Arial"/>
          <w:b w:val="false"/>
          <w:bCs w:val="false"/>
          <w:color w:val="333333"/>
          <w:sz w:val="22"/>
          <w:szCs w:val="22"/>
        </w:rPr>
        <w:t xml:space="preserve">2024 年 12 月 13 日正式生效，取代旧指令 GPSD。首次明确将在线市场纳入监管，强制要求指定欧盟负责人、产品安全标签、追溯信息和风险评估技术文档。Amazon、Temu、Shein、eBay、AliExpress 等平台均已发布合规公告。2025 年 7 月，欧盟委员会初步认定 Temu 未能正确评估非法产品传播风险，面临最高全球年营业额 6% 的罚款。</w:t>
      </w:r>
    </w:p>
    <w:p>
      <w:pPr>
        <w:spacing w:after="60" w:before="100" w:line="360"/>
        <w:jc w:val="left"/>
      </w:pPr>
      <w:r>
        <w:rPr>
          <w:rFonts w:ascii="Arial" w:eastAsia="Microsoft YaHei" w:hAnsi="Arial"/>
          <w:b/>
          <w:bCs/>
          <w:color w:val="333333"/>
          <w:sz w:val="22"/>
          <w:szCs w:val="22"/>
        </w:rPr>
        <w:t xml:space="preserve">新电池法（EU Battery Regulation）</w:t>
      </w:r>
    </w:p>
    <w:p>
      <w:pPr>
        <w:spacing w:after="60" w:before="60" w:line="360"/>
        <w:ind w:firstLine="480"/>
        <w:jc w:val="left"/>
      </w:pPr>
      <w:r>
        <w:rPr>
          <w:rFonts w:ascii="Arial" w:eastAsia="Microsoft YaHei" w:hAnsi="Arial"/>
          <w:b w:val="false"/>
          <w:bCs w:val="false"/>
          <w:color w:val="333333"/>
          <w:sz w:val="22"/>
          <w:szCs w:val="22"/>
        </w:rPr>
        <w:t xml:space="preserve">2023 年 8 月生效，分阶段实施至 2036 年。2025 年 2 月起电动汽车电池须提交碳足迹声明；2027 年 2 月起须提供数字电池护照和 QR 码；2028 年起便携电池须满足最低性能要求。对中国电池及含电池产品出口企业影响深远，火鹰合规已将该法规纳入语料库。</w:t>
      </w:r>
    </w:p>
    <w:p>
      <w:pPr>
        <w:spacing w:after="60" w:before="100" w:line="360"/>
        <w:jc w:val="left"/>
      </w:pPr>
      <w:r>
        <w:rPr>
          <w:rFonts w:ascii="Arial" w:eastAsia="Microsoft YaHei" w:hAnsi="Arial"/>
          <w:b/>
          <w:bCs/>
          <w:color w:val="333333"/>
          <w:sz w:val="22"/>
          <w:szCs w:val="22"/>
        </w:rPr>
        <w:t xml:space="preserve">EU REACH 法规持续收紧</w:t>
      </w:r>
    </w:p>
    <w:p>
      <w:pPr>
        <w:spacing w:after="60" w:before="60" w:line="360"/>
        <w:ind w:firstLine="480"/>
        <w:jc w:val="left"/>
      </w:pPr>
      <w:r>
        <w:rPr>
          <w:rFonts w:ascii="Arial" w:eastAsia="Microsoft YaHei" w:hAnsi="Arial"/>
          <w:b w:val="false"/>
          <w:bCs w:val="false"/>
          <w:color w:val="333333"/>
          <w:sz w:val="22"/>
          <w:szCs w:val="22"/>
        </w:rPr>
        <w:t xml:space="preserve">SVHC 清单已增至 253 项，PFAS 限制提案正在推进中（2026 年 4 月 PFHxA 及其盐类将面临限制）。2024 年 REF-12 联合执法涉及 29 个国家共 2603 次检查，中国是最大被检查来源国（1334 例），整体注册不合规率 18%，混合物不合规率高达 32%。</w:t>
      </w:r>
    </w:p>
    <w:p>
      <w:pPr>
        <w:spacing w:after="60" w:before="100" w:line="360"/>
        <w:jc w:val="left"/>
      </w:pPr>
      <w:r>
        <w:rPr>
          <w:rFonts w:ascii="Arial" w:eastAsia="Microsoft YaHei" w:hAnsi="Arial"/>
          <w:b/>
          <w:bCs/>
          <w:color w:val="333333"/>
          <w:sz w:val="22"/>
          <w:szCs w:val="22"/>
        </w:rPr>
        <w:t xml:space="preserve">中国出口管制法全面升级</w:t>
      </w:r>
    </w:p>
    <w:p>
      <w:pPr>
        <w:spacing w:after="60" w:before="60" w:line="360"/>
        <w:ind w:firstLine="480"/>
        <w:jc w:val="left"/>
      </w:pPr>
      <w:r>
        <w:rPr>
          <w:rFonts w:ascii="Arial" w:eastAsia="Microsoft YaHei" w:hAnsi="Arial"/>
          <w:b w:val="false"/>
          <w:bCs w:val="false"/>
          <w:color w:val="333333"/>
          <w:sz w:val="22"/>
          <w:szCs w:val="22"/>
        </w:rPr>
        <w:t xml:space="preserve">2024 年 12 月《两用物项出口管制清单》正式实施；2025 年对钨、碲、铋、钼、铟及 7 种关键中重稀土物项实施出口管制；不可靠实体清单达 56 个实体，出口管制管控名单达 55 个实体；2025 年已公开行政处罚决定书 238 篇，执法力度显著加强。</w:t>
      </w:r>
    </w:p>
    <w:p>
      <w:pPr>
        <w:spacing w:after="60" w:before="100" w:line="360"/>
        <w:jc w:val="left"/>
      </w:pPr>
      <w:r>
        <w:rPr>
          <w:rFonts w:ascii="Arial" w:eastAsia="Microsoft YaHei" w:hAnsi="Arial"/>
          <w:b/>
          <w:bCs/>
          <w:color w:val="333333"/>
          <w:sz w:val="22"/>
          <w:szCs w:val="22"/>
        </w:rPr>
        <w:t xml:space="preserve">GDPR 数据跨境传输新规</w:t>
      </w:r>
    </w:p>
    <w:p>
      <w:pPr>
        <w:spacing w:after="60" w:before="60" w:line="360"/>
        <w:ind w:firstLine="480"/>
        <w:jc w:val="left"/>
      </w:pPr>
      <w:r>
        <w:rPr>
          <w:rFonts w:ascii="Arial" w:eastAsia="Microsoft YaHei" w:hAnsi="Arial"/>
          <w:b w:val="false"/>
          <w:bCs w:val="false"/>
          <w:color w:val="333333"/>
          <w:sz w:val="22"/>
          <w:szCs w:val="22"/>
        </w:rPr>
        <w:t xml:space="preserve">2025 年欧盟法院维持 EU-US 数据保护框架充分性认定；TikTok 因向中国传输欧洲用户数据被罚 5.3 亿欧元；国家网信办 2025 年开展数据出境安全评估项目 1247 个，较 2024 年增长 89%。数据跨境合规成为出海企业必修课。</w:t>
      </w:r>
    </w:p>
    <w:p>
      <w:pPr>
        <w:spacing w:after="0" w:before="120"/>
      </w:pPr>
    </w:p>
    <w:p>
      <w:pPr>
        <w:pStyle w:val="Heading3"/>
        <w:spacing w:after="120" w:before="200"/>
      </w:pPr>
      <w:r>
        <w:rPr>
          <w:rFonts w:ascii="Arial" w:eastAsia="Microsoft YaHei" w:hAnsi="Arial"/>
          <w:b/>
          <w:bCs/>
          <w:color w:val="0f3460"/>
          <w:sz w:val="24"/>
          <w:szCs w:val="24"/>
        </w:rPr>
        <w:t xml:space="preserve">竞品分析与差异化定位</w:t>
      </w:r>
    </w:p>
    <w:p>
      <w:pPr>
        <w:spacing w:after="60" w:before="100" w:line="360"/>
        <w:jc w:val="left"/>
      </w:pPr>
      <w:r>
        <w:rPr>
          <w:rFonts w:ascii="Arial" w:eastAsia="Microsoft YaHei" w:hAnsi="Arial"/>
          <w:b/>
          <w:bCs/>
          <w:color w:val="333333"/>
          <w:sz w:val="22"/>
          <w:szCs w:val="22"/>
        </w:rPr>
        <w:t xml:space="preserve">国际法律 AI 赛道</w:t>
      </w:r>
    </w:p>
    <w:p>
      <w:pPr>
        <w:spacing w:after="60" w:before="60" w:line="360"/>
        <w:ind w:firstLine="480"/>
        <w:jc w:val="left"/>
      </w:pPr>
      <w:r>
        <w:rPr>
          <w:rFonts w:ascii="Arial" w:eastAsia="Microsoft YaHei" w:hAnsi="Arial"/>
          <w:b w:val="false"/>
          <w:bCs w:val="false"/>
          <w:color w:val="333333"/>
          <w:sz w:val="22"/>
          <w:szCs w:val="22"/>
        </w:rPr>
        <w:t xml:space="preserve">国际法律 AI 赛道已形成显著的资本和客户壁垒。Harvey AI 估值达 50 亿美元（2025 年 Series E），ARR 约 2 亿美元；Thomson Reuters 以 6.5 亿美元收购 Casetext（现为 CoCounsel），定价 500 美元/用户/月。这些产品主要服务于律师事务所的合同审查和法律研究场景，与火鹰合规的"出口合规风险扫描"定位存在本质差异。</w:t>
      </w:r>
    </w:p>
    <w:p>
      <w:pPr>
        <w:spacing w:after="60" w:before="100" w:line="360"/>
        <w:jc w:val="left"/>
      </w:pPr>
      <w:r>
        <w:rPr>
          <w:rFonts w:ascii="Arial" w:eastAsia="Microsoft YaHei" w:hAnsi="Arial"/>
          <w:b/>
          <w:bCs/>
          <w:color w:val="333333"/>
          <w:sz w:val="22"/>
          <w:szCs w:val="22"/>
        </w:rPr>
        <w:t xml:space="preserve">国内法律 AI 赛道</w:t>
      </w:r>
    </w:p>
    <w:p>
      <w:pPr>
        <w:spacing w:after="60" w:before="60" w:line="360"/>
        <w:ind w:firstLine="480"/>
        <w:jc w:val="left"/>
      </w:pPr>
      <w:r>
        <w:rPr>
          <w:rFonts w:ascii="Arial" w:eastAsia="Microsoft YaHei" w:hAnsi="Arial"/>
          <w:b w:val="false"/>
          <w:bCs w:val="false"/>
          <w:color w:val="333333"/>
          <w:sz w:val="22"/>
          <w:szCs w:val="22"/>
        </w:rPr>
        <w:t xml:space="preserve">国内法律 AI 产品（幂律智能 MeFlow、iCourt AlphaGPT、小包公法律大模型、北大 ChatLaw 等）主要聚焦合同全生命周期管理和法律检索，融资规模相对较小（Pre-B 轮近 8000 万元级别）。尚无产品专门针对"出口合规风险扫描"这一垂直场景。</w:t>
      </w:r>
    </w:p>
    <w:p>
      <w:pPr>
        <w:spacing w:after="60" w:before="100" w:line="360"/>
        <w:jc w:val="left"/>
      </w:pPr>
      <w:r>
        <w:rPr>
          <w:rFonts w:ascii="Arial" w:eastAsia="Microsoft YaHei" w:hAnsi="Arial"/>
          <w:b/>
          <w:bCs/>
          <w:color w:val="333333"/>
          <w:sz w:val="22"/>
          <w:szCs w:val="22"/>
        </w:rPr>
        <w:t xml:space="preserve">合规 SaaS 赛道</w:t>
      </w:r>
    </w:p>
    <w:p>
      <w:pPr>
        <w:spacing w:after="60" w:before="60" w:line="360"/>
        <w:ind w:firstLine="480"/>
        <w:jc w:val="left"/>
      </w:pPr>
      <w:r>
        <w:rPr>
          <w:rFonts w:ascii="Arial" w:eastAsia="Microsoft YaHei" w:hAnsi="Arial"/>
          <w:b w:val="false"/>
          <w:bCs w:val="false"/>
          <w:color w:val="333333"/>
          <w:sz w:val="22"/>
          <w:szCs w:val="22"/>
        </w:rPr>
        <w:t xml:space="preserve">国际合规 SaaS 产品（SAP GTS、Descartes Visual Compliance、KPMG/Integration Point）主要服务大型跨国企业，价格高昂、实施周期长（6-18 个月），且以制裁名单筛查和海关归类为核心功能。国内合规产品（海同科技、关衡集团、兴云数科 ECSS 等）主要聚焦关务管理和制裁筛查，以传统规则引擎为主，缺乏 AI 驱动的法规语义理解和智能报告生成能力。</w:t>
      </w:r>
    </w:p>
    <w:p>
      <w:pPr>
        <w:spacing w:after="60" w:before="100" w:line="360"/>
        <w:jc w:val="left"/>
      </w:pPr>
      <w:r>
        <w:rPr>
          <w:rFonts w:ascii="Arial" w:eastAsia="Microsoft YaHei" w:hAnsi="Arial"/>
          <w:b/>
          <w:bCs/>
          <w:color w:val="333333"/>
          <w:sz w:val="22"/>
          <w:szCs w:val="22"/>
        </w:rPr>
        <w:t xml:space="preserve">火鹰合规的差异化优势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对比维度</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传统合规 SaaS</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通用法律 AI</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火鹰合规</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核心能力</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制裁名单筛查、海关归类</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合同审查、法律研究</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AI 驱动的法规语义理解 + 智能合规报告生成</w:t>
            </w:r>
          </w:p>
        </w:tc>
      </w:tr>
      <w:tr>
        <w:trPr>
          <w:cantSplit/>
        </w:trP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技术架构</w:t>
            </w:r>
          </w:p>
        </w:tc>
        <w:tc>
          <w:tcPr>
            <w:tcW w:type="dxa" w:w="25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规则引擎 + 数据库匹配</w:t>
            </w:r>
          </w:p>
        </w:tc>
        <w:tc>
          <w:tcPr>
            <w:tcW w:type="dxa" w:w="25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LLM + RAG</w:t>
            </w:r>
          </w:p>
        </w:tc>
        <w:tc>
          <w:tcPr>
            <w:tcW w:type="dxa" w:w="25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LangGraph Agentic RAG + NLI 硬门验证 + Must-Check 强制注入</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数据基础</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制裁名单、HS 编码</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判例法、合同范本</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96 个法规文件、12M+ 字符、15,000 个语义块</w:t>
            </w:r>
          </w:p>
        </w:tc>
      </w:tr>
      <w:tr>
        <w:trPr>
          <w:cantSplit/>
        </w:trP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输出质量</w:t>
            </w:r>
          </w:p>
        </w:tc>
        <w:tc>
          <w:tcPr>
            <w:tcW w:type="dxa" w:w="25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筛查结果（是/否）</w:t>
            </w:r>
          </w:p>
        </w:tc>
        <w:tc>
          <w:tcPr>
            <w:tcW w:type="dxa" w:w="25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法律意见（可能含幻觉）</w:t>
            </w:r>
          </w:p>
        </w:tc>
        <w:tc>
          <w:tcPr>
            <w:tcW w:type="dxa" w:w="25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结构化报告 + 精确条款引用 + 可操作整改建议</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目标客户</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大型跨国企业</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律师事务所</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出海制造/跨境电商企业法务部</w:t>
            </w:r>
          </w:p>
        </w:tc>
      </w:tr>
      <w:tr>
        <w:trPr>
          <w:cantSplit/>
        </w:trP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价格门槛</w:t>
            </w:r>
          </w:p>
        </w:tc>
        <w:tc>
          <w:tcPr>
            <w:tcW w:type="dxa" w:w="25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年费数万至数十万美元</w:t>
            </w:r>
          </w:p>
        </w:tc>
        <w:tc>
          <w:tcPr>
            <w:tcW w:type="dxa" w:w="25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500 美元/用户/月起</w:t>
            </w:r>
          </w:p>
        </w:tc>
        <w:tc>
          <w:tcPr>
            <w:tcW w:type="dxa" w:w="25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SaaS 订阅，月均数百元起</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部署周期</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6-18 个月</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即开即用</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即开即用，5 分钟出报告</w:t>
            </w:r>
          </w:p>
        </w:tc>
      </w:tr>
    </w:tbl>
    <w:p>
      <w:pPr>
        <w:spacing w:after="0" w:before="120"/>
      </w:pPr>
    </w:p>
    <w:p>
      <w:pPr>
        <w:pStyle w:val="Heading3"/>
        <w:spacing w:after="120" w:before="200"/>
      </w:pPr>
      <w:r>
        <w:rPr>
          <w:rFonts w:ascii="Arial" w:eastAsia="Microsoft YaHei" w:hAnsi="Arial"/>
          <w:b/>
          <w:bCs/>
          <w:color w:val="0f3460"/>
          <w:sz w:val="24"/>
          <w:szCs w:val="24"/>
        </w:rPr>
        <w:t xml:space="preserve">产品演进路径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阶段</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核心目标与功能拓展</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阶段一（当前）</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MVP 完成：96 个法规入库，FAISS 检索，NLI 验证，5 分钟出报告；核心价值验证</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阶段二（3-6月）</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接入真实企业法务部测试：收集反馈，增补法规品类（玩具/纺织品/化妆品），优化报告格式与整改建议颗粒度；引入报告版本管理与存档功能</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阶段三（6-12月）</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SaaS 商业化：按扫描次数或企业席位订阅；接入 DeepL / 专业翻译 API，支持多语言合规报告输出；开放 API 供第三方 ERP/供应链系统集成</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远期愿景</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构建持续更新的法规知识图谱 + 企业合规知识库，成为出海合规基础设施；探索与认证机构、第三方实验室数据对接，打通"发现风险 → 整改 → 认证"全链路</w:t>
            </w:r>
          </w:p>
        </w:tc>
      </w:tr>
    </w:tbl>
    <w:p>
      <w:pPr>
        <w:spacing w:after="0" w:before="120"/>
      </w:pPr>
    </w:p>
    <w:p>
      <w:pPr>
        <w:pStyle w:val="Heading3"/>
        <w:spacing w:after="120" w:before="200"/>
      </w:pPr>
      <w:r>
        <w:rPr>
          <w:rFonts w:ascii="Arial" w:eastAsia="Microsoft YaHei" w:hAnsi="Arial"/>
          <w:b/>
          <w:bCs/>
          <w:color w:val="0f3460"/>
          <w:sz w:val="24"/>
          <w:szCs w:val="24"/>
        </w:rPr>
        <w:t xml:space="preserve">竞争壁垒</w:t>
      </w:r>
    </w:p>
    <w:p>
      <w:pPr>
        <w:pStyle w:val="ListParagraph"/>
        <w:numPr>
          <w:ilvl w:val="0"/>
          <w:numId w:val="2"/>
        </w:numPr>
        <w:spacing w:after="40" w:before="40" w:line="360"/>
      </w:pPr>
      <w:r>
        <w:rPr>
          <w:rFonts w:ascii="Arial" w:eastAsia="Microsoft YaHei" w:hAnsi="Arial"/>
          <w:color w:val="333333"/>
          <w:sz w:val="22"/>
          <w:szCs w:val="22"/>
        </w:rPr>
        <w:t xml:space="preserve">数据壁垒：96 个法规文件、12M+ 字符、经人工校验的法规语料，是区别于通用大模型"纸上谈兵"的核心资产。法规语料的结构化处理（按 Article/条 边界切分、Parent-Child 双层分块）需要大量领域工程投入，难以被通用 AI 产品快速复制。</w:t>
      </w:r>
    </w:p>
    <w:p>
      <w:pPr>
        <w:pStyle w:val="ListParagraph"/>
        <w:numPr>
          <w:ilvl w:val="0"/>
          <w:numId w:val="2"/>
        </w:numPr>
        <w:spacing w:after="40" w:before="40" w:line="360"/>
      </w:pPr>
      <w:r>
        <w:rPr>
          <w:rFonts w:ascii="Arial" w:eastAsia="Microsoft YaHei" w:hAnsi="Arial"/>
          <w:color w:val="333333"/>
          <w:sz w:val="22"/>
          <w:szCs w:val="22"/>
        </w:rPr>
        <w:t xml:space="preserve">技术壁垒：NLI 硬门验证 + Must-Check 强制注入 + HyDE 重检索 + Parent-Child 双层分块的组合，在法律 AI 准确性上设立了较高的工程门槛。EQS 2025 年基准测试显示，AI 在合规领域正从"炒作"走向"实际效果"，但"可信度"仍是核心挑战，火鹰合规的 NLI 硬门验证直接解决了这一痛点。</w:t>
      </w:r>
    </w:p>
    <w:p>
      <w:pPr>
        <w:pStyle w:val="ListParagraph"/>
        <w:numPr>
          <w:ilvl w:val="0"/>
          <w:numId w:val="2"/>
        </w:numPr>
        <w:spacing w:after="40" w:before="40" w:line="360"/>
      </w:pPr>
      <w:r>
        <w:rPr>
          <w:rFonts w:ascii="Arial" w:eastAsia="Microsoft YaHei" w:hAnsi="Arial"/>
          <w:color w:val="333333"/>
          <w:sz w:val="22"/>
          <w:szCs w:val="22"/>
        </w:rPr>
        <w:t xml:space="preserve">信任壁垒：精确条款引用的报告格式建立了法务人员的使用信心，形成口碑传播效应；一旦融入法务工作流，替换成本较高。Gartner 数据显示，法务团队规模年增长仅 5%，但合同处理量年增长 23%，AI 辅助工具已成为刚需。</w:t>
      </w:r>
    </w:p>
    <w:p>
      <w:pPr>
        <w:pStyle w:val="ListParagraph"/>
        <w:numPr>
          <w:ilvl w:val="0"/>
          <w:numId w:val="2"/>
        </w:numPr>
        <w:spacing w:after="40" w:before="40" w:line="360"/>
      </w:pPr>
      <w:r>
        <w:rPr>
          <w:rFonts w:ascii="Arial" w:eastAsia="Microsoft YaHei" w:hAnsi="Arial"/>
          <w:color w:val="333333"/>
          <w:sz w:val="22"/>
          <w:szCs w:val="22"/>
        </w:rPr>
        <w:t xml:space="preserve">合规人才壁垒：跨境合规人才缺口超 5 万，供需比不足 1:8，平均年薪 30-60 万元。火鹰合规以 AI 能力替代部分高端合规人才的工作，使中小企业也能获得专业级合规服务。</w:t>
      </w:r>
    </w:p>
    <w:p>
      <w:pPr>
        <w:spacing w:after="0" w:before="120"/>
      </w:pPr>
    </w:p>
    <w:p>
      <w:pPr>
        <w:pStyle w:val="Heading2"/>
        <w:spacing w:after="160" w:before="280"/>
      </w:pPr>
      <w:r>
        <w:rPr>
          <w:rFonts w:ascii="Arial" w:eastAsia="Microsoft YaHei" w:hAnsi="Arial"/>
          <w:b/>
          <w:bCs/>
          <w:color w:val="16213e"/>
          <w:sz w:val="28"/>
          <w:szCs w:val="28"/>
        </w:rPr>
        <w:t xml:space="preserve">▌ 2.8 总结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维度</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核心亮点</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作品名称</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火鹰合规 / Blaze Hawks Compliance v0.2.0</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核心价值</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让企业法务部 5 分钟获得多市场合规风险报告，每条结论附精确法规引用，整改建议直接可操作</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技术核心</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LangGraph Agentic RAG + NLI 硬门验证 + Must-Check 强制注入 + Parent-Child 双层分块</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数据基础</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96 个法规文件，16+ 市场，12M+ 字符，约 15,000 个语义块，已完成索引</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市场机遇</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跨境电商 2024 年达 2.75 万亿元；全球 GRC 市场 629 亿美元；中国 AI+法律服务 450 亿元；合规人才缺口超 5 万</w:t>
            </w:r>
          </w:p>
        </w:tc>
      </w:tr>
      <w:tr>
        <w:trPr>
          <w:cantSplit/>
        </w:trP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产品状态</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MVP 已完成，核心管线可运行，具备可试用产品，欢迎评委实测</w:t>
            </w:r>
          </w:p>
        </w:tc>
      </w:tr>
      <w:tr>
        <w:trPr>
          <w:cantSplit/>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发展潜力</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jc w:val="left"/>
            </w:pPr>
            <w:r>
              <w:rPr>
                <w:rFonts w:ascii="Arial" w:eastAsia="Microsoft YaHei" w:hAnsi="Arial"/>
                <w:color w:val="333333"/>
                <w:sz w:val="20"/>
                <w:szCs w:val="20"/>
              </w:rPr>
              <w:t xml:space="preserve">SaaS 订阅模式，目标数十万出海企业，具备清晰的数据、技术、信任与人才四重壁垒</w:t>
            </w:r>
          </w:p>
        </w:tc>
      </w:tr>
    </w:tbl>
    <w:p>
      <w:pPr>
        <w:spacing w:after="0" w:before="120"/>
      </w:pPr>
    </w:p>
    <w:p>
      <w:pPr>
        <w:spacing w:after="60" w:before="60" w:line="360"/>
        <w:ind w:firstLine="480"/>
        <w:jc w:val="left"/>
      </w:pPr>
      <w:r>
        <w:rPr>
          <w:rFonts w:ascii="Arial" w:eastAsia="Microsoft YaHei" w:hAnsi="Arial"/>
          <w:b w:val="false"/>
          <w:bCs w:val="false"/>
          <w:color w:val="333333"/>
          <w:sz w:val="22"/>
          <w:szCs w:val="22"/>
        </w:rPr>
        <w:t xml:space="preserve">火鹰合规不只是一个竞赛作品——它是一个真实的 MVP，已经可以处理真实的合规查询，服务真实的企业法务场景。在跨境电商持续高增长（2024 年 2.75 万亿元）、合规监管全面趋严（EU AI Act、GPSR、新电池法密集实施）、合规人才严重短缺（缺口超 5 万）的三重背景下，AI 驱动的合规自动化工具正从"可选项"变为"必选项"。我们相信，这正是法律科技 AI 化最需要的方向：不是概念，是可以跑起来的工具。</w:t>
      </w:r>
    </w:p>
    <w:p>
      <w:pPr>
        <w:spacing w:after="0" w:before="120"/>
      </w:pPr>
    </w:p>
    <w:p>
      <w:pPr>
        <w:spacing w:after="60" w:before="60" w:line="360"/>
        <w:jc w:val="center"/>
      </w:pPr>
      <w:r>
        <w:rPr>
          <w:rFonts w:ascii="Arial" w:eastAsia="Microsoft YaHei" w:hAnsi="Arial"/>
          <w:b w:val="false"/>
          <w:bCs w:val="false"/>
          <w:color w:val="888888"/>
          <w:sz w:val="22"/>
          <w:szCs w:val="22"/>
        </w:rPr>
        <w:t xml:space="preserve">——  感谢评审委员会的时间与关注  ——</w:t>
      </w:r>
    </w:p>
    <w:p>
      <w:pPr>
        <w:spacing w:after="60" w:before="60" w:line="360"/>
        <w:jc w:val="center"/>
      </w:pPr>
      <w:r>
        <w:rPr>
          <w:rFonts w:ascii="Arial" w:eastAsia="Microsoft YaHei" w:hAnsi="Arial"/>
          <w:b w:val="false"/>
          <w:bCs w:val="false"/>
          <w:color w:val="888888"/>
          <w:sz w:val="22"/>
          <w:szCs w:val="22"/>
        </w:rPr>
        <w:t xml:space="preserve">如需演示，欢迎联系参赛选手安排现场试用</w:t>
      </w:r>
    </w:p>
    <w:sectPr>
      <w:headerReference w:type="default" r:id="rId10"/>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AAAAAA"/>
        <w:sz w:val="16"/>
        <w:szCs w:val="16"/>
      </w:rPr>
      <w:t xml:space="preserve">第 </w:t>
    </w:r>
    <w:r>
      <w:rPr>
        <w:rFonts w:ascii="Arial" w:eastAsia="Microsoft YaHei" w:hAnsi="Arial"/>
        <w:color w:val="AAAAAA"/>
        <w:sz w:val="16"/>
        <w:szCs w:val="16"/>
      </w:rPr>
      <w:fldChar w:fldCharType="begin"/>
      <w:instrText xml:space="preserve">PAGE</w:instrText>
      <w:fldChar w:fldCharType="separate"/>
      <w:fldChar w:fldCharType="end"/>
    </w:r>
    <w:r>
      <w:rPr>
        <w:rFonts w:ascii="Arial" w:eastAsia="Microsoft YaHei" w:hAnsi="Arial"/>
        <w:color w:val="AAAAAA"/>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AAAAAA"/>
        <w:sz w:val="16"/>
        <w:szCs w:val="16"/>
      </w:rPr>
      <w:t xml:space="preserve">🔥 火鹰合规 | 星瀚杯初赛材料</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1a1a2e"/>
      <w:sz w:val="32"/>
      <w:szCs w:val="32"/>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16213e"/>
      <w:sz w:val="28"/>
      <w:szCs w:val="28"/>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2026-05-05T03:04:06.733Z</dcterms:created>
  <dcterms:modified xsi:type="dcterms:W3CDTF">2026-05-05T03:04:06.733Z</dcterms:modified>
</cp:coreProperties>
</file>

<file path=docProps/custom.xml><?xml version="1.0" encoding="utf-8"?>
<Properties xmlns="http://schemas.openxmlformats.org/officeDocument/2006/custom-properties" xmlns:vt="http://schemas.openxmlformats.org/officeDocument/2006/docPropsVTypes"/>
</file>