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EBF2F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30"/>
              </w:rPr>
              <w:t>Biweekly Research Progress Report</w:t>
            </w:r>
          </w:p>
        </w:tc>
      </w:tr>
      <w:tr>
        <w:tc>
          <w:tcPr>
            <w:tcW w:type="dxa" w:w="241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Name</w:t>
            </w:r>
          </w:p>
        </w:tc>
        <w:tc>
          <w:tcPr>
            <w:tcW w:type="dxa" w:w="24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9"/>
              </w:rPr>
              <w:t>이재용</w:t>
            </w:r>
          </w:p>
        </w:tc>
        <w:tc>
          <w:tcPr>
            <w:tcW w:type="dxa" w:w="241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Advisor</w:t>
            </w:r>
          </w:p>
        </w:tc>
        <w:tc>
          <w:tcPr>
            <w:tcW w:type="dxa" w:w="24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9"/>
              </w:rPr>
              <w:t>김재효                        (signature)</w:t>
            </w:r>
          </w:p>
        </w:tc>
      </w:tr>
      <w:tr>
        <w:tc>
          <w:tcPr>
            <w:tcW w:type="dxa" w:w="241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Period</w:t>
            </w:r>
          </w:p>
        </w:tc>
        <w:tc>
          <w:tcPr>
            <w:tcW w:type="dxa" w:w="24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9"/>
              </w:rPr>
              <w:t>Week 6~7 (2026.09 하순)</w:t>
            </w:r>
          </w:p>
        </w:tc>
        <w:tc>
          <w:tcPr>
            <w:tcW w:type="dxa" w:w="241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WBS</w:t>
            </w:r>
          </w:p>
        </w:tc>
        <w:tc>
          <w:tcPr>
            <w:tcW w:type="dxa" w:w="24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9"/>
              </w:rPr>
              <w:t>1.1. 세부연구주제 및 프로토콜 확정</w:t>
            </w:r>
          </w:p>
        </w:tc>
      </w:tr>
    </w:tbl>
    <w:p>
      <w:pPr>
        <w:spacing w:before="160" w:after="40"/>
      </w:pPr>
    </w:p>
    <w:p>
      <w:pPr>
        <w:spacing w:before="280" w:after="80"/>
      </w:pPr>
      <w:r>
        <w:rPr>
          <w:rFonts w:ascii="맑은 고딕" w:hAnsi="맑은 고딕"/>
          <w:b/>
          <w:i w:val="0"/>
          <w:color w:val="182B49"/>
          <w:sz w:val="25"/>
        </w:rPr>
        <w:t>Research Results in This Biweek</w:t>
      </w:r>
    </w:p>
    <w:p>
      <w:pPr>
        <w:spacing w:before="120" w:after="60"/>
      </w:pPr>
      <w:r>
        <w:rPr>
          <w:rFonts w:ascii="맑은 고딕" w:hAnsi="맑은 고딕"/>
          <w:b/>
          <w:i w:val="0"/>
          <w:color w:val="1F4E79"/>
          <w:sz w:val="22"/>
        </w:rPr>
        <w:t>(1) 실험 과제의 표준화: ARAT 기반 2개 과제 전환 및 사유 정리</w:t>
      </w:r>
    </w:p>
    <w:p>
      <w:pPr>
        <w:spacing w:after="80"/>
      </w:pPr>
      <w:r>
        <w:rPr>
          <w:rFonts w:ascii="맑은 고딕" w:hAnsi="맑은 고딕"/>
          <w:b w:val="0"/>
          <w:i w:val="0"/>
          <w:sz w:val="19"/>
        </w:rPr>
        <w:t>• 기존 프로토콜(임의의 20 cm 도달-잡기-유지) 한계 검토:</w:t>
        <w:br/>
        <w:t xml:space="preserve">  - 임상 치료사의 객관적 채점 기준(Ground Truth) 부재 및 수직 거상(Lifting)·정밀 핀치 동작 미포함 확인.</w:t>
        <w:br/>
        <w:t>• 국제 표준 임상 척도인 ARAT(Action Research Arm Test, Yozbatiran 2008) 기준 2개 과제로 공식 전환:</w:t>
        <w:br/>
        <w:t xml:space="preserve">  - T1: ARAT 3번 (5 cm 목재 블록, 55 g) → 대형 파지(Gross Grasp) 및 어깨/팔꿈치 수직 도달(37 cm 선반) 평가.</w:t>
        <w:br/>
        <w:t xml:space="preserve">  - T2: ARAT 12번 (1.6 cm 쇠구슬, 5.4 g) → 엄지-검지 끝 맞섬 정밀 핀치(Fine Pinch) 평가.</w:t>
        <w:br/>
        <w:t>• 과제 축소 및 선정 근거 확립:</w:t>
        <w:br/>
        <w:t xml:space="preserve">  - 19개 전 항목 수행 시 뇌졸중 환자의 피로 및 비정상적 경직으로 인한 측정 왜곡 방지 (소요시간 40분 → 20분 내 단축).</w:t>
        <w:br/>
        <w:t xml:space="preserve">  - 선행연구(Unger 2026) 분석: 픽앤플레이스 과제가 완수/실패(AUC 0.99) 및 2점 vs 3점 경계(AUC 0.70~0.84)를 가르는 핵심 변별 과제임을 확인하여 반영.</w:t>
      </w:r>
    </w:p>
    <w:p>
      <w:pPr>
        <w:spacing w:before="160" w:after="60"/>
      </w:pPr>
      <w:r>
        <w:rPr>
          <w:rFonts w:ascii="맑은 고딕" w:hAnsi="맑은 고딕"/>
          <w:b/>
          <w:i w:val="0"/>
          <w:color w:val="1F4E79"/>
          <w:sz w:val="22"/>
        </w:rPr>
        <w:t>(2) 물리적 실험 환경 및 기구 세팅 검증</w:t>
      </w:r>
    </w:p>
    <w:p>
      <w:pPr>
        <w:spacing w:after="80"/>
      </w:pPr>
      <w:r>
        <w:rPr>
          <w:rFonts w:ascii="맑은 고딕" w:hAnsi="맑은 고딕"/>
          <w:b w:val="0"/>
          <w:i w:val="0"/>
          <w:sz w:val="19"/>
        </w:rPr>
        <w:t>• 표준 세팅 다이어그램 제작 및 치수 검토 완료:</w:t>
        <w:br/>
        <w:t xml:space="preserve">  - 테이블 및 의자: 높이 75 cm 테이블, 좌면 높이 46 cm 팔걸이 없는 의자 확정. 몸통 보상작용 차단을 위해 환자 등받이 밀착 착석 규격 적용.</w:t>
        <w:br/>
        <w:t xml:space="preserve">  - 이동식 선반: 책상 상판 기준 높이 37 cm, 환자 배 앞 20 cm 거리에 독립된 이동식 목재 박스로 배치 (벽면 고정 시 환자 팔이 닿지 않는 결함 발견 및 수정).</w:t>
        <w:br/>
        <w:t xml:space="preserve">  - 물체 및 용기: T1 블록(5 cm, 55 g), T2 구슬(지름 1.6 cm, 5.4 g). 구슬 이탈 방지용 하부 뚜껑(배 앞 5 cm) 및 선반 위 상부 목표 뚜껑 배치.</w:t>
        <w:br/>
        <w:t xml:space="preserve">  - 카메라(D455): 삼각대 높이 100~110 cm, 대각선 30~45도 하향 뷰, 작업거리 0.75 m 세팅 (손가락 파지 간격과 선반이 동시에 사각지대 없이 촬영되도록 화각 확보).</w:t>
      </w:r>
    </w:p>
    <w:p>
      <w:pPr>
        <w:spacing w:before="160" w:after="60"/>
      </w:pPr>
      <w:r>
        <w:rPr>
          <w:rFonts w:ascii="맑은 고딕" w:hAnsi="맑은 고딕"/>
          <w:b/>
          <w:i w:val="0"/>
          <w:color w:val="1F4E79"/>
          <w:sz w:val="22"/>
        </w:rPr>
        <w:t>(3) 측정 데이터 무결성 검증 및 오류 정정</w:t>
      </w:r>
    </w:p>
    <w:p>
      <w:pPr>
        <w:spacing w:after="80"/>
      </w:pPr>
      <w:r>
        <w:rPr>
          <w:rFonts w:ascii="맑은 고딕" w:hAnsi="맑은 고딕"/>
          <w:b w:val="0"/>
          <w:i w:val="0"/>
          <w:sz w:val="19"/>
        </w:rPr>
        <w:t>• 손 최고속도 이상치(PV = 7.95 m/s, 시속 28.6 km) 원인 규명 및 수정:</w:t>
        <w:br/>
        <w:t xml:space="preserve">  - 카메라 프레임 시계 대신 컴퓨터 벽시계(time.time) 사용으로 인접 행 dt가 1.7 ms까지 축소되며 속도가 증폭된 결함 재현.</w:t>
        <w:br/>
        <w:t xml:space="preserve">  - 프레임 타임스탬프 전용 사용 및 dt_min 하한 필터(30 ms 미만 제외) 추가 (재계산 결과 PV = 0.605 m/s, P95 = 0.406 m/s로 정상화).</w:t>
        <w:br/>
        <w:t>• 참고문헌 및 본문 통계치 정화:</w:t>
        <w:br/>
        <w:t xml:space="preserve">  - 초안 내 15건의 비존재 인용 및 출처 불명의 본문 수치(+12.4%p, 38% 감소 등) 전수 확인 후 철회.</w:t>
        <w:br/>
        <w:t xml:space="preserve">  - 실존 문헌(Tang 2025 arXiv:2505.18412, Li 2026 PLOS Digit Health, Manzone 2026 등)으로 교체 및 본문 미검증 수치 삭제.</w:t>
        <w:br/>
        <w:t>• 원시 Depth 저장 규약 확립:</w:t>
        <w:br/>
        <w:t xml:space="preserve">  - Windows 비ASCII 경로의 OpenCV imwrite 버그 우회 코드(imencode+tofile) 적용 확인.</w:t>
        <w:br/>
        <w:t xml:space="preserve">  - 차기 수집부터 Raw Depth PNG 저장을 강제하여 3D 표면거리(K1) 산출 기반 마련.</w:t>
      </w:r>
    </w:p>
    <w:p>
      <w:pPr>
        <w:spacing w:before="160" w:after="60"/>
      </w:pPr>
      <w:r>
        <w:rPr>
          <w:rFonts w:ascii="맑은 고딕" w:hAnsi="맑은 고딕"/>
          <w:b/>
          <w:i w:val="0"/>
          <w:color w:val="1F4E79"/>
          <w:sz w:val="22"/>
        </w:rPr>
        <w:t>(4) 연구 가설 고도화 및 통계 설계 재정립 (v6.3)</w:t>
      </w:r>
    </w:p>
    <w:p>
      <w:pPr>
        <w:spacing w:after="80"/>
      </w:pPr>
      <w:r>
        <w:rPr>
          <w:rFonts w:ascii="맑은 고딕" w:hAnsi="맑은 고딕"/>
          <w:b w:val="0"/>
          <w:i w:val="0"/>
          <w:sz w:val="19"/>
        </w:rPr>
        <w:t>• 가설 체계 전환: 단순 성능 비교에서 탈피하여 '센서 수치 주입이 VLM 채점을 악화시키는지(A2 vs A1의 해악)'를 주 결과(PR-1)로 설정하고, '품질 게이팅(A3)의 위험 차단 효과'를 검증하는 구조로 재구성.</w:t>
        <w:br/>
        <w:t>• 표본 크기 재산정: 검정력 확보를 위해 본평가 뇌졸중 장애인 수를 기존 12명(CI 폭 ±0.64점)에서 20명(±0.47점)으로 확대 조정.</w:t>
        <w:br/>
        <w:t>• 대조 조건 보강: 프롬프트 텍스트 길이 차이 교란을 통제하기 위해 무의미 텍스트를 채운 A1+ 대조 조건 추가 (+240회).</w:t>
        <w:br/>
        <w:t>• 보조 검증 모델: 로컬 환경에 구비된 LLaVA-OneVision-7B를 보조 모델로 확정하여 다중 모델 평가 준비.</w:t>
      </w:r>
    </w:p>
    <w:p>
      <w:pPr>
        <w:spacing w:before="280" w:after="80"/>
      </w:pPr>
      <w:r>
        <w:rPr>
          <w:rFonts w:ascii="맑은 고딕" w:hAnsi="맑은 고딕"/>
          <w:b/>
          <w:i w:val="0"/>
          <w:color w:val="182B49"/>
          <w:sz w:val="25"/>
        </w:rPr>
        <w:t>Research Items in Next Biweek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계획 항목</w:t>
            </w:r>
          </w:p>
        </w:tc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구체적 수행 내용</w:t>
            </w:r>
          </w:p>
        </w:tc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확보할 산출물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비장애인 예비 파일럿 촬영</w:t>
              <w:br/>
              <w:t>(L0~L3 파이프라인 검증)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연구실 비장애인 1~2명 대상 ARAT 물리 세팅(선반 37 cm, 블록, 구슬)에서 5회 반복 촬영 진행</w:t>
              <w:br/>
              <w:t>• OpenCV 비ASCII 버그 우회 코드 및 Raw Depth PNG 프레임 수 1:1 일치 여부 즉시 검증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L0 원본 영상 및 Depth 프레임셋,</w:t>
              <w:br/>
              <w:t>프레임 타임스탬프 무결성 확인서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VLM 1회 시범 구동</w:t>
              <w:br/>
              <w:t>(Pilot Run)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취득 영상에서 10 Hz 50프레임 추출 및 프롬프트(A1, A1+, A2, A3) 구성</w:t>
              <w:br/>
              <w:t>• Qwen2.5-VL 및 LLaVA-OneVision 백엔드로 1회 추론 실행하여 토큰 소모량 및 점수(0~3) 파싱 동작 확인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VLM 예측 출력 로그(predictions.csv),</w:t>
              <w:br/>
              <w:t>토큰 예산 실측 데이터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임상 데이터 수집 협의</w:t>
              <w:br/>
              <w:t>(IRB 및 병원 슬롯)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확정된 표본 규모(장애인 n=20) 및 12주 실행 일정표에 따라 병원 측 연구담당자와 촬영 슬롯 선확보 및 환자 모집 절차 협의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12주 임상 촬영 타임라인,</w:t>
              <w:br/>
              <w:t>환자 모집 및 배정 계획안</w:t>
            </w:r>
          </w:p>
        </w:tc>
      </w:tr>
    </w:tbl>
    <w:p>
      <w:pPr>
        <w:spacing w:before="280" w:after="80"/>
      </w:pPr>
      <w:r>
        <w:rPr>
          <w:rFonts w:ascii="맑은 고딕" w:hAnsi="맑은 고딕"/>
          <w:b/>
          <w:i w:val="0"/>
          <w:color w:val="182B49"/>
          <w:sz w:val="25"/>
        </w:rPr>
        <w:t>Issues and Overall Progress</w:t>
      </w:r>
    </w:p>
    <w:p>
      <w:pPr>
        <w:spacing w:before="120" w:after="40"/>
      </w:pPr>
      <w:r>
        <w:rPr>
          <w:rFonts w:ascii="맑은 고딕" w:hAnsi="맑은 고딕"/>
          <w:b/>
          <w:i w:val="0"/>
          <w:color w:val="1F4E79"/>
          <w:sz w:val="22"/>
        </w:rPr>
        <w:t>지도교수 면담 제기사항 및 대응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면담에서 제기된 사항</w:t>
            </w:r>
          </w:p>
        </w:tc>
        <w:tc>
          <w:tcPr>
            <w:tcW w:type="dxa" w:w="482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대응 및 조치 완료 내용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기존 모델과 지표의 결합에서 무엇이 개선되는지 불명확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단순 모델 결합이 아니라 "불량 센서 수치가 AI 채점을 어떻게 왜곡하는가(A2 vs A1의 해악)"를 실증하고, "기하학적 품질 게이팅(A3)이 이를 방어하는 안전장치 효과"를 동일 영상-동일 라벨 통제 하에서 분리 측정하도록 연구 질문 및 주 결과(PR-1, PR-2) 설정 완료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제한된 행동 과제의 선정 근거 보완 필요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임의 동작을 배제하고 국제 표준 ARAT 3번(대형 파지)과 12번(미세 핀치) 선정</w:t>
              <w:br/>
              <w:t>• Unger 2026을 근거로 완수/실패(AUC 0.99) 및 2점 vs 3점 경계(AUC 0.70~0.84)를 가르는 최고 난도 대표 과제임을 명문화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환자 수 축소에 따른 통계적 신뢰도 우려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• 검정력 시뮬레이션을 통해 기존 12명의 신뢰구간 폭(±0.64점) 검토 후, 본평가 장애인을 n=20(±0.47점)으로 확대하여 통계적 안전성 확보 (12주 일정 재편 완료)</w:t>
            </w:r>
          </w:p>
        </w:tc>
      </w:tr>
    </w:tbl>
    <w:p>
      <w:pPr>
        <w:spacing w:before="160" w:after="40"/>
      </w:pPr>
      <w:r>
        <w:rPr>
          <w:rFonts w:ascii="맑은 고딕" w:hAnsi="맑은 고딕"/>
          <w:b/>
          <w:i w:val="0"/>
          <w:color w:val="1F4E79"/>
          <w:sz w:val="22"/>
        </w:rPr>
        <w:t>진행도와 중간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항목</w:t>
            </w:r>
          </w:p>
        </w:tc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현재 상태</w:t>
            </w:r>
          </w:p>
        </w:tc>
        <w:tc>
          <w:tcPr>
            <w:tcW w:type="dxa" w:w="3216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82B49"/>
                <w:sz w:val="19"/>
              </w:rPr>
              <w:t>비고</w:t>
            </w:r>
          </w:p>
        </w:tc>
      </w:tr>
      <w:tr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선행연구 조사 및 프로토콜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F4E79"/>
                <w:sz w:val="18"/>
              </w:rPr>
              <w:t>완료 (v6.3 동결)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ARAT 정본 규격, 가짜 인용 정화, 신규 경쟁 문헌 6편 반영</w:t>
            </w:r>
          </w:p>
        </w:tc>
      </w:tr>
      <w:tr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하드웨어 환경 및 물리 세팅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F4E79"/>
                <w:sz w:val="18"/>
              </w:rPr>
              <w:t>구축 및 검증 완료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책상 75 cm, 의자 46 cm, 선반 37 cm, D455 30~45도 하향 뷰 검증</w:t>
            </w:r>
          </w:p>
        </w:tc>
      </w:tr>
      <w:tr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데이터 파이프라인 무결성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F4E79"/>
                <w:sz w:val="18"/>
              </w:rPr>
              <w:t>완료 (오라클 183 PASS)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V-1 시계 버그(dt_min 30 ms) 수정, Raw Depth 저장 규약 확립</w:t>
            </w:r>
          </w:p>
        </w:tc>
      </w:tr>
      <w:tr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VLM 실행 하네스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F4E79"/>
                <w:sz w:val="18"/>
              </w:rPr>
              <w:t>준비 완료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Qwen2.5-VL 및 LLaVA-OneVision 2개 모델 체계 확립</w:t>
            </w:r>
          </w:p>
        </w:tc>
      </w:tr>
      <w:tr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  <w:shd w:fill="FAFAF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18"/>
              </w:rPr>
              <w:t>데이터 수집 및 성능 평가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1F4E79"/>
                <w:sz w:val="18"/>
              </w:rPr>
              <w:t>예비 촬영 대기</w:t>
            </w:r>
          </w:p>
        </w:tc>
        <w:tc>
          <w:tcPr>
            <w:tcW w:type="dxa" w:w="321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연구실 파일럿 촬영 직후 병원 본평가(장애인 n=20) 착수 예정</w:t>
            </w:r>
          </w:p>
        </w:tc>
      </w:tr>
    </w:tbl>
    <w:p>
      <w:pPr>
        <w:spacing w:before="280" w:after="80"/>
      </w:pPr>
      <w:r>
        <w:rPr>
          <w:rFonts w:ascii="맑은 고딕" w:hAnsi="맑은 고딕"/>
          <w:b/>
          <w:i w:val="0"/>
          <w:color w:val="182B49"/>
          <w:sz w:val="25"/>
        </w:rPr>
        <w:t>참고문헌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color w:val="464646"/>
          <w:sz w:val="17"/>
        </w:rPr>
        <w:t>[1] Yozbatiran, N., Der-Yeghiaian, L., &amp; Cramer, S. C. (2008). A standardized approach to performing the Action Research Arm Test. Neurorehabilitation and Neural Repair, 22(1), 78–90. https://doi.org/10.1177/1545968307305353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color w:val="464646"/>
          <w:sz w:val="17"/>
        </w:rPr>
        <w:t>[2] Unger, J., et al. (2026). Kinematic assessment of pick-and-place tasks reveals motor recovery beyond clinical ceiling in chronic stroke. arXiv:2607.23608.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color w:val="464646"/>
          <w:sz w:val="17"/>
        </w:rPr>
        <w:t>[3] Li, V., Kamalakannan, N., Parnandi, A., Schambra, H., &amp; Fernandez-Granda, C. (2026). Vision-language models for human motion understanding: Lessons from stroke rehabilitation. PLOS Digital Health, 5(7), Article e0001506. https://doi.org/10.1371/journal.pdig.0001506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color w:val="464646"/>
          <w:sz w:val="17"/>
        </w:rPr>
        <w:t>[4] Tang, J., Abedi, A., Colella, T. J. F., &amp; Khan, S. S. (2025). Rehabilitation exercise quality assessment and feedback generation using large language models with prompt engineering. arXiv:2505.18412.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color w:val="464646"/>
          <w:sz w:val="17"/>
        </w:rPr>
        <w:t>[5] Padilla-Magaña, N., et al. (2022). Detection of post-stroke upper limb movement impairment using markerless motion capture and machine learning during ARAT activities. Sensors, 22(23), Article 9078. https://doi.org/10.3390/s22239078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