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RGB D 운동학 특징을 활용한</w:t>
        <w:br/>
        <w:t>뇌졸중 손 과제 VLM 평가 개선 연구</w:t>
      </w:r>
    </w:p>
    <w:p>
      <w:r>
        <w:t>연구계획서 개정안  |  2026년 9월 9일</w:t>
      </w:r>
    </w:p>
    <w:p>
      <w:pPr>
        <w:pStyle w:val="Heading2"/>
      </w:pPr>
      <w:r>
        <w:t>연구 개요</w:t>
      </w:r>
    </w:p>
    <w:p>
      <w:r>
        <w:t>본 연구는 뇌졸중 환자의 손 과제 영상에 RGB-D 기반 운동학 특징과 건강인 참조 정보를 추가했을 때, 비전 언어 모델(VLM)의 수행 평가가 독립적인 전문가 평가와 더 잘 일치하는지 검증한다. 기존 영상 기반 평가의 세밀한 동작 판단 한계를 보완하는 방법을 제안하고, 동일 시행에 대한 입력 조건 비교로 각 정보의 추가 가치를 확인한다.</w:t>
      </w:r>
    </w:p>
    <w:p>
      <w:r>
        <w:t>장기 목표는 손 과제 평가의 자동화이다. 이번 연구의 직접 목표는 전문가 판단을 기준으로 평가 오류를 줄일 수 있는지 확인하는 것이다. 정확도 개선은 자동화를 향한 방법적 진전으로 해석하며, 완전 무인화·치료 효과·업무시간 감소를 이번 실험의 입증 결과로 주장하지 않는다.</w:t>
      </w:r>
    </w:p>
    <w:tbl>
      <w:tblPr>
        <w:tblW w:type="auto" w:w="0"/>
        <w:tblLayout w:type="fixed"/>
        <w:tblLook w:firstColumn="1" w:firstRow="1" w:lastColumn="0" w:lastRow="0" w:noHBand="0" w:noVBand="1" w:val="04A0"/>
      </w:tblPr>
      <w:tblGrid>
        <w:gridCol w:w="1656"/>
        <w:gridCol w:w="8136"/>
      </w:tblGrid>
      <w:tr>
        <w:trPr>
          <w:cantSplit/>
          <w:tblHeader/>
        </w:trPr>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line="264" w:lineRule="auto"/>
            </w:pPr>
            <w:r>
              <w:rPr>
                <w:b/>
                <w:sz w:val="20"/>
              </w:rPr>
              <w:t>항목</w:t>
            </w:r>
          </w:p>
        </w:tc>
        <w:tc>
          <w:tcPr>
            <w:tcW w:type="dxa" w:w="8136"/>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line="264" w:lineRule="auto"/>
            </w:pPr>
            <w:r>
              <w:rPr>
                <w:b/>
                <w:sz w:val="20"/>
              </w:rPr>
              <w:t>계획</w:t>
            </w:r>
          </w:p>
        </w:tc>
      </w:tr>
      <w:tr>
        <w:trPr>
          <w:cantSplit/>
        </w:trPr>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설계</w:t>
            </w:r>
          </w:p>
        </w:tc>
        <w:tc>
          <w:tcPr>
            <w:tcW w:type="dxa" w:w="81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동일 참가자의 동일 시행에 입력 조건을 달리 적용하는 비교 연구</w:t>
            </w:r>
          </w:p>
        </w:tc>
      </w:tr>
      <w:tr>
        <w:trPr>
          <w:cantSplit/>
        </w:trPr>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과제</w:t>
            </w:r>
          </w:p>
        </w:tc>
        <w:tc>
          <w:tcPr>
            <w:tcW w:type="dxa" w:w="81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맨손 개폐와 기존 물체 파지 과제 유지</w:t>
            </w:r>
          </w:p>
        </w:tc>
      </w:tr>
      <w:tr>
        <w:trPr>
          <w:cantSplit/>
        </w:trPr>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반복</w:t>
            </w:r>
          </w:p>
        </w:tc>
        <w:tc>
          <w:tcPr>
            <w:tcW w:type="dxa" w:w="81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연습 시행과 별도로 과제당 기록 8회</w:t>
            </w:r>
          </w:p>
        </w:tc>
      </w:tr>
      <w:tr>
        <w:trPr>
          <w:cantSplit/>
        </w:trPr>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측정</w:t>
            </w:r>
          </w:p>
        </w:tc>
        <w:tc>
          <w:tcPr>
            <w:tcW w:type="dxa" w:w="81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RealSense RGB-D와 MediaPipe를 결합한 검증 가능한 거리·시간 특징</w:t>
            </w:r>
          </w:p>
        </w:tc>
      </w:tr>
      <w:tr>
        <w:trPr>
          <w:cantSplit/>
        </w:trPr>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평가 기준</w:t>
            </w:r>
          </w:p>
        </w:tc>
        <w:tc>
          <w:tcPr>
            <w:tcW w:type="dxa" w:w="81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모델 결과와 계산 수치를 보지 않는 전문가 2인의 독립 판독</w:t>
            </w:r>
          </w:p>
        </w:tc>
      </w:tr>
      <w:tr>
        <w:trPr>
          <w:cantSplit/>
        </w:trPr>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주 비교</w:t>
            </w:r>
          </w:p>
        </w:tc>
        <w:tc>
          <w:tcPr>
            <w:tcW w:type="dxa" w:w="81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A3 영상＋수치＋참조와 A1 영상 단독</w:t>
            </w:r>
          </w:p>
        </w:tc>
      </w:tr>
      <w:tr>
        <w:trPr>
          <w:cantSplit/>
        </w:trPr>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추가 비교</w:t>
            </w:r>
          </w:p>
        </w:tc>
        <w:tc>
          <w:tcPr>
            <w:tcW w:type="dxa" w:w="81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A2 영상＋수치, A4 수치＋참조, A0 단순 수치 모델</w:t>
            </w:r>
          </w:p>
        </w:tc>
      </w:tr>
    </w:tbl>
    <w:p>
      <w:pPr>
        <w:spacing w:after="0"/>
      </w:pPr>
    </w:p>
    <w:p>
      <w:r>
        <w:t>확정 상태: 본 개정안은 대화에서 합의한 실험 구조를 유지한다. 표본 수, 물체 과제의 정확한 명칭·규격, 모델 버전 및 맨손 과제의 판독 기준은 확정된 값이 없어 별도 확정 항목으로 남긴다. 기존에 예시로 제시된 환자 15명·건강인 20명은 확정 표본 수로 간주하지 않는다.</w:t>
      </w:r>
    </w:p>
    <w:p>
      <w:pPr>
        <w:pStyle w:val="Heading1"/>
        <w:pageBreakBefore/>
      </w:pPr>
      <w:r>
        <w:t>1 연구 배경과 필요성</w:t>
      </w:r>
    </w:p>
    <w:p>
      <w:pPr>
        <w:pStyle w:val="Heading2"/>
      </w:pPr>
      <w:r>
        <w:t>영상 기반 자동평가에서 남은 문제</w:t>
      </w:r>
    </w:p>
    <w:p>
      <w:r>
        <w:t>손 과제 수행의 자동평가는 전문가가 수행하는 평가를 기계적으로 재현하려는 연구 방향이다. 연구의 필요성은 사람이 평가하지 못한다는 가정에 있지 않다. 기존 자동평가의 오류를 줄이고, 어떤 입력 정보가 정확한 판단에 기여하는지 확인하는 데 있다. Kim 등은 RGB와 optical flow를 결합한 상지 과제 평가 모델을 제시했다[11]. 따라서 본 연구는 영상 기반 자동평가의 존재를 출발점으로 삼는다.</w:t>
      </w:r>
    </w:p>
    <w:p>
      <w:r>
        <w:t>Li 등은 뇌졸중 재활 영상에서 VLM의 활동 인식과 운동량·손상 평가를 조사했으며, 평가한 모델들이 세밀한 운동을 정량적으로 해석하는 데 한계가 있음을 보고했다[1]. 이 연구에는 자세 정보를 활용한 처리와 후처리도 포함된다. 본 연구의 차별점은 단순히 자세 정보를 처음 사용한다는 주장이 아니라, 손 과제의 명시적 거리·시간 특징과 참조 정보를 입력에 추가하고 전문가 일치도에 대한 기여를 분리해 검증하는 데 있다.</w:t>
      </w:r>
    </w:p>
    <w:p>
      <w:pPr>
        <w:pStyle w:val="Heading2"/>
      </w:pPr>
      <w:r>
        <w:t>정량적 특징으로 보완할 수 있는 부분</w:t>
      </w:r>
    </w:p>
    <w:p>
      <w:r>
        <w:t>영상에서 미세한 손 벌림과 변화 시점을 추정하는 부담을 줄이기 위해, 별도 계산한 거리와 시간을 모델에 제공한다. Amprimo 등의 연구는 깊이를 결합한 손 추적의 공간 측정 가능성을 보여주었다[2]. Tang 등은 과제별 관절 특징을 언어모델에 제공하는 접근을 제시했지만, 특징에 포함되지 않은 수행 문제와 임의 판단 기준 생성 등의 한계도 논의했다[10]. 이는 수치를 추가할 근거이자 수치 단독 조건을 비교해야 할 이유이다.</w:t>
      </w:r>
    </w:p>
    <w:p>
      <w:pPr>
        <w:pStyle w:val="Heading2"/>
      </w:pPr>
      <w:r>
        <w:t>손 수행 맥락과 수치의 결합</w:t>
      </w:r>
    </w:p>
    <w:p>
      <w:r>
        <w:t>파지 방식과 과제 목표는 손의 운동 양상에 영향을 준다[6]. 따라서 벌림 거리 하나만으로 파지 형태나 해제 완료를 대표한다고 가정하지 않는다. 영상은 손과 물체의 관계를, 추출 특징은 움직임의 양과 시점을 제공할 수 있다. 두 정보의 상보성은 본 연구에서 검증할 가설이다. 잘못된 특징이나 부적절한 참조가 오히려 판단을 악화시킬 가능성도 함께 평가한다.</w:t>
      </w:r>
    </w:p>
    <w:p>
      <w:r>
        <w:t>손가락 신전과 파지의 관계[8], 파지 시작·종료 지연[7], 도달·파지 운동학 연구[3–5]는 손 수행을 세부적으로 살펴볼 배경이 된다. 다만 힘·근활성 종료와 영상 기반 접촉 해제는 다른 지표이며, 힘 변동 연구[9]를 손 벌림 변동의 직접적인 검증 근거로 사용하지 않는다.</w:t>
      </w:r>
    </w:p>
    <w:p>
      <w:pPr>
        <w:pStyle w:val="Heading1"/>
        <w:pageBreakBefore/>
      </w:pPr>
      <w:r>
        <w:t>2 연구 질문과 가설</w:t>
      </w:r>
    </w:p>
    <w:p>
      <w:pPr>
        <w:pStyle w:val="Heading2"/>
      </w:pPr>
      <w:r>
        <w:t>연구 목적</w:t>
      </w:r>
    </w:p>
    <w:p>
      <w:r>
        <w:t>동일한 손 과제 영상에 운동학 특징과 건강인 참조를 제공했을 때, VLM의 연구용 수행 평가 오류가 감소하는지 확인한다. FMA 점수의 추정이나 대체를 핵심 목표로 설정하지 않는다. 별도 표준 FMA를 수집하는 경우에도 임상적 관련성의 보조 분석으로만 사용한다.</w:t>
      </w:r>
    </w:p>
    <w:tbl>
      <w:tblPr>
        <w:tblW w:type="auto" w:w="0"/>
        <w:tblLayout w:type="fixed"/>
        <w:tblLook w:firstColumn="1" w:firstRow="1" w:lastColumn="0" w:lastRow="0" w:noHBand="0" w:noVBand="1" w:val="04A0"/>
      </w:tblPr>
      <w:tblGrid>
        <w:gridCol w:w="1800"/>
        <w:gridCol w:w="7992"/>
      </w:tblGrid>
      <w:tr>
        <w:trPr>
          <w:cantSplit/>
          <w:tblHeader/>
        </w:trPr>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line="264" w:lineRule="auto"/>
            </w:pPr>
            <w:r>
              <w:rPr>
                <w:b/>
                <w:sz w:val="20"/>
              </w:rPr>
              <w:t>질문</w:t>
            </w:r>
          </w:p>
        </w:tc>
        <w:tc>
          <w:tcPr>
            <w:tcW w:type="dxa" w:w="7992"/>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line="264" w:lineRule="auto"/>
            </w:pPr>
            <w:r>
              <w:rPr>
                <w:b/>
                <w:sz w:val="20"/>
              </w:rPr>
              <w:t>검증 내용</w:t>
            </w:r>
          </w:p>
        </w:tc>
      </w:tr>
      <w:tr>
        <w:trPr>
          <w:cantSplit/>
        </w:trPr>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주 질문</w:t>
            </w:r>
          </w:p>
        </w:tc>
        <w:tc>
          <w:tcPr>
            <w:tcW w:type="dxa" w:w="79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A3의 연구용 완료 등급 오차가 A1보다 작은가?</w:t>
            </w:r>
          </w:p>
        </w:tc>
      </w:tr>
      <w:tr>
        <w:trPr>
          <w:cantSplit/>
        </w:trPr>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수치의 효과</w:t>
            </w:r>
          </w:p>
        </w:tc>
        <w:tc>
          <w:tcPr>
            <w:tcW w:type="dxa" w:w="79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A2와 A1 비교로 운동학 특징 추가의 효과를 확인한다.</w:t>
            </w:r>
          </w:p>
        </w:tc>
      </w:tr>
      <w:tr>
        <w:trPr>
          <w:cantSplit/>
        </w:trPr>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참조의 효과</w:t>
            </w:r>
          </w:p>
        </w:tc>
        <w:tc>
          <w:tcPr>
            <w:tcW w:type="dxa" w:w="79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A3와 A2 비교로 건강인 참조의 추가 효과를 확인한다.</w:t>
            </w:r>
          </w:p>
        </w:tc>
      </w:tr>
      <w:tr>
        <w:trPr>
          <w:cantSplit/>
        </w:trPr>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영상의 효과</w:t>
            </w:r>
          </w:p>
        </w:tc>
        <w:tc>
          <w:tcPr>
            <w:tcW w:type="dxa" w:w="79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A3와 A4 비교로 수치에 포함되지 않은 시각 정보의 가치를 확인한다.</w:t>
            </w:r>
          </w:p>
        </w:tc>
      </w:tr>
      <w:tr>
        <w:trPr>
          <w:cantSplit/>
        </w:trPr>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모델의 효과</w:t>
            </w:r>
          </w:p>
        </w:tc>
        <w:tc>
          <w:tcPr>
            <w:tcW w:type="dxa" w:w="79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A3와 A0 비교로 단순 수치 모델 대비 결합 VLM의 성능을 확인한다.</w:t>
            </w:r>
          </w:p>
        </w:tc>
      </w:tr>
    </w:tbl>
    <w:p>
      <w:pPr>
        <w:spacing w:after="0"/>
      </w:pPr>
    </w:p>
    <w:p>
      <w:r>
        <w:t>주 가설은 A3가 A1보다 참가자별 평균 절대 등급 오차가 작다는 것이다. 수치와 참조의 개별 효과는 보조 가설로 둔다. A3와 A0 비교는 모델 구조뿐 아니라 사용 정보의 차이도 포함하므로 VLM 구조만의 순수 효과라고 해석하지 않는다. A4와 A0를 함께 보면 같은 수치 입력에서 복잡한 언어모델 사용의 효과를 추가로 살펴볼 수 있다.</w:t>
      </w:r>
    </w:p>
    <w:p>
      <w:pPr>
        <w:pStyle w:val="Heading2"/>
      </w:pPr>
      <w:r>
        <w:t>오류 감소의 구체적 대상</w:t>
      </w:r>
    </w:p>
    <w:p>
      <w:r>
        <w:t>관심 오류는 목표 파지 형태의 미완성을 완료로 판단하는 오류, 유지 실패를 놓치는 오류, 손가락 개방을 통한 해제와 팔을 뒤로 당겨 손을 빼는 동작을 혼동하는 오류이다. 거리·시간 특징이 모든 오류를 해결한다고 가정하지 않고, 항목별 오류 변화로 어떤 판단에 도움이 되는지 분석한다.</w:t>
      </w:r>
    </w:p>
    <w:p>
      <w:pPr>
        <w:pStyle w:val="Heading2"/>
      </w:pPr>
      <w:r>
        <w:t>연구 기여의 범위</w:t>
      </w:r>
    </w:p>
    <w:p>
      <w:r>
        <w:t>기여는 ① 손 과제 평가를 위한 영상·운동학 특징 결합 방법, ② 동일 시행에서 입력 정보의 추가 가치를 분리한 비교, ③ 측정 실패를 포함한 평가 한계의 제시이다. 결합 방식이 우수하지 않은 경우에도 어떤 과제에서 수치 단독으로 충분한지 또는 현재 모델이 실패하는지를 보고한다. 유의한 차이가 없다는 결과를 동등성의 입증으로 바꾸어 해석하지 않는다.</w:t>
      </w:r>
    </w:p>
    <w:p>
      <w:pPr>
        <w:pStyle w:val="Heading1"/>
        <w:pageBreakBefore/>
      </w:pPr>
      <w:r>
        <w:t>3 참가자와 과제 수행 절차</w:t>
      </w:r>
    </w:p>
    <w:p>
      <w:pPr>
        <w:pStyle w:val="Heading2"/>
      </w:pPr>
      <w:r>
        <w:t>참가자 구성</w:t>
      </w:r>
    </w:p>
    <w:p>
      <w:r>
        <w:t>건강인 자료는 과제별 참조 분포 구성에 사용하고, 뇌졸중 참가자 자료는 전문가 평가와 모델 평가의 비교에 사용한다. 대상자의 연령, 마비측, 우세손, 손 크기, 발병 후 기간 등 수행 해석에 필요한 특성을 기록한다. 구체적인 선정·제외 기준은 임상의와 합의하고 연구 승인 문서에 반영한다. 수행 실패만을 이유로 참가자나 시행을 제외하지 않는다.</w:t>
      </w:r>
    </w:p>
    <w:p>
      <w:r>
        <w:t>표본 수는 주 비교의 참가자별 오차 차이와 목표 신뢰구간 폭 또는 검정력에 근거해 확정한다. 예비 자료가 부족하면 탐색적 파일럿으로 명시한다. 8회 반복이 독립 참가자 수를 늘려주는 것은 아니다.</w:t>
      </w:r>
    </w:p>
    <w:p>
      <w:pPr>
        <w:pStyle w:val="Heading2"/>
      </w:pPr>
      <w:r>
        <w:t>맨손 개폐 과제</w:t>
      </w:r>
    </w:p>
    <w:p>
      <w:r>
        <w:t>물체 없이 편안한 속도로 스스로 가능한 범위까지 손을 펴고 다시 쥔다. 개방과 폐쇄의 끝 자세를 동일한 사전 지정 시간 동안 유지한다. 연습 후 8회를 기록하며, 최대 속도와 최대 범위를 동시에 요구하지 않는다. 공압 보조를 제거한 능동 수행이라는 기존 조건을 유지한다. 주먹 상태의 가림과 추적 결측을 함께 기록한다.</w:t>
      </w:r>
    </w:p>
    <w:p>
      <w:pPr>
        <w:pStyle w:val="Heading2"/>
      </w:pPr>
      <w:r>
        <w:t>기존 물체 과제</w:t>
      </w:r>
    </w:p>
    <w:p>
      <w:r>
        <w:t>기존 물체 과제 3종을 유지한다. 각 시행은 시작 자세, 손 뻗기와 벌림, 목표 파지 형태 형성, 2초 유지, 손가락을 펴 접촉 해제의 순서로 진행한다. 물체는 탁자 위에 유지하며 들어 올리거나 저항에 견디는 능력을 평가하지 않는다. 과제당 연습과 별도로 8회를 기록한다. 세 과제의 명칭·물체 치수·접촉 위치는 원안 대조 후 확정하고 임의의 새 과제로 대체하지 않는다.</w:t>
      </w:r>
    </w:p>
    <w:tbl>
      <w:tblPr>
        <w:tblW w:type="auto" w:w="0"/>
        <w:tblLayout w:type="fixed"/>
        <w:tblLook w:firstColumn="1" w:firstRow="1" w:lastColumn="0" w:lastRow="0" w:noHBand="0" w:noVBand="1" w:val="04A0"/>
      </w:tblPr>
      <w:tblGrid>
        <w:gridCol w:w="1800"/>
        <w:gridCol w:w="7992"/>
      </w:tblGrid>
      <w:tr>
        <w:trPr>
          <w:cantSplit/>
          <w:tblHeader/>
        </w:trPr>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line="264" w:lineRule="auto"/>
            </w:pPr>
            <w:r>
              <w:rPr>
                <w:b/>
                <w:sz w:val="20"/>
              </w:rPr>
              <w:t>통제 항목</w:t>
            </w:r>
          </w:p>
        </w:tc>
        <w:tc>
          <w:tcPr>
            <w:tcW w:type="dxa" w:w="7992"/>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line="264" w:lineRule="auto"/>
            </w:pPr>
            <w:r>
              <w:rPr>
                <w:b/>
                <w:sz w:val="20"/>
              </w:rPr>
              <w:t>기록 및 적용</w:t>
            </w:r>
          </w:p>
        </w:tc>
      </w:tr>
      <w:tr>
        <w:trPr>
          <w:cantSplit/>
        </w:trPr>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촬영 조건</w:t>
            </w:r>
          </w:p>
        </w:tc>
        <w:tc>
          <w:tcPr>
            <w:tcW w:type="dxa" w:w="79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카메라 모델·거리·높이·각도·해상도·프레임률·조명 고정</w:t>
            </w:r>
          </w:p>
        </w:tc>
      </w:tr>
      <w:tr>
        <w:trPr>
          <w:cantSplit/>
        </w:trPr>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과제 조건</w:t>
            </w:r>
          </w:p>
        </w:tc>
        <w:tc>
          <w:tcPr>
            <w:tcW w:type="dxa" w:w="79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물체 위치, 시작 자세, 지시 문구와 유지 시간 고정</w:t>
            </w:r>
          </w:p>
        </w:tc>
      </w:tr>
      <w:tr>
        <w:trPr>
          <w:cantSplit/>
        </w:trPr>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순서와 휴식</w:t>
            </w:r>
          </w:p>
        </w:tc>
        <w:tc>
          <w:tcPr>
            <w:tcW w:type="dxa" w:w="79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과제 순서를 균형화하고 휴식·중단·도움 여부 기록</w:t>
            </w:r>
          </w:p>
        </w:tc>
      </w:tr>
      <w:tr>
        <w:trPr>
          <w:cantSplit/>
        </w:trPr>
        <w:tc>
          <w:tcPr>
            <w:tcW w:type="dxa" w:w="18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시행 보존</w:t>
            </w:r>
          </w:p>
        </w:tc>
        <w:tc>
          <w:tcPr>
            <w:tcW w:type="dxa" w:w="79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실패한 시행도 보존하며 성공할 때까지 반복해 8회를 채우지 않음</w:t>
            </w:r>
          </w:p>
        </w:tc>
      </w:tr>
    </w:tbl>
    <w:p>
      <w:pPr>
        <w:spacing w:after="0"/>
      </w:pPr>
    </w:p>
    <w:p>
      <w:r>
        <w:t>4과제를 모두 시행하면 참가자당 기록 시행은 최대 32회이다. 이 수는 위 과제 구성이 최종 확인되는 경우에 해당한다. 실제 완료 횟수와 중단 이유를 별도로 보고한다.</w:t>
      </w:r>
    </w:p>
    <w:p>
      <w:pPr>
        <w:pStyle w:val="Heading1"/>
        <w:pageBreakBefore/>
      </w:pPr>
      <w:r>
        <w:t>4 측정 검증과 데이터 구성</w:t>
      </w:r>
    </w:p>
    <w:p>
      <w:pPr>
        <w:pStyle w:val="Heading2"/>
      </w:pPr>
      <w:r>
        <w:t>최소 측정 검증</w:t>
      </w:r>
    </w:p>
    <w:p>
      <w:r>
        <w:t>본 실험 전 실제 작업 영역에서 카메라와 물체 사이 깊이 및 알려진 두 지점 간 거리를 확인한다. 이어 실제 손의 동일한 두 손끝 지점에 대해 유지 자세의 독립 측정과 프로그램의 3차원 거리를 비교한다. 초기 개발은 3–5명으로 시작할 수 있으나 이 수를 충분한 검증 표본으로 확정하지 않는다.</w:t>
      </w:r>
    </w:p>
    <w:p>
      <w:r>
        <w:t>편향, 평균 절대오차, 오차 분포와 반복 흔들림을 보고한다. 정적 비교만 통과했다면 동적 거리 정확도가 검증됐다고 쓰지 않는다. 개폐 시점·횟수는 사전 정의된 영상 판독과 비교하고, 같은 조건의 재측정에서는 실제 수행 변동과 측정 오차가 섞여 있음을 명시한다[12]. 허용 오차는 구별하려는 차이와 기준 측정의 불확실성을 고려해 본 실험 전 정한다.</w:t>
      </w:r>
    </w:p>
    <w:tbl>
      <w:tblPr>
        <w:tblW w:type="auto" w:w="0"/>
        <w:tblLayout w:type="fixed"/>
        <w:tblLook w:firstColumn="1" w:firstRow="1" w:lastColumn="0" w:lastRow="0" w:noHBand="0" w:noVBand="1" w:val="04A0"/>
      </w:tblPr>
      <w:tblGrid>
        <w:gridCol w:w="2016"/>
        <w:gridCol w:w="7776"/>
      </w:tblGrid>
      <w:tr>
        <w:trPr>
          <w:cantSplit/>
          <w:tblHeader/>
        </w:trPr>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line="264" w:lineRule="auto"/>
            </w:pPr>
            <w:r>
              <w:rPr>
                <w:b/>
                <w:sz w:val="20"/>
              </w:rPr>
              <w:t>특징</w:t>
            </w:r>
          </w:p>
        </w:tc>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line="264" w:lineRule="auto"/>
            </w:pPr>
            <w:r>
              <w:rPr>
                <w:b/>
                <w:sz w:val="20"/>
              </w:rPr>
              <w:t>정의와 적용 범위</w:t>
            </w:r>
          </w:p>
        </w:tc>
      </w:tr>
      <w:tr>
        <w:trPr>
          <w:cantSplit/>
        </w:trPr>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최대 손 벌림</w:t>
            </w:r>
          </w:p>
        </w:tc>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맨손 과제의 엄지끝–검지끝 3차원 거리 최댓값. 손 전체 신전의 대리지표로 일반화하지 않음</w:t>
            </w:r>
          </w:p>
        </w:tc>
      </w:tr>
      <w:tr>
        <w:trPr>
          <w:cantSplit/>
        </w:trPr>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MGA와 TMGA</w:t>
            </w:r>
          </w:p>
        </w:tc>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물체 접촉 전 최대 엄지–검지 거리와 도달 구간 내 상대 시점. 시작·접촉 시점 필요</w:t>
            </w:r>
          </w:p>
        </w:tc>
      </w:tr>
      <w:tr>
        <w:trPr>
          <w:cantSplit/>
        </w:trPr>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준비 및 개폐 시간</w:t>
            </w:r>
          </w:p>
        </w:tc>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지시·시작·완료 사건을 구분해 정의. 반응시간과 운동시간을 혼용하지 않음</w:t>
            </w:r>
          </w:p>
        </w:tc>
      </w:tr>
      <w:tr>
        <w:trPr>
          <w:cantSplit/>
        </w:trPr>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해제 후 개방 변화</w:t>
            </w:r>
          </w:p>
        </w:tc>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해제 지시 이후 벌림 거리의 변화. 접촉 해제 성공을 직접 뜻하지 않음</w:t>
            </w:r>
          </w:p>
        </w:tc>
      </w:tr>
      <w:tr>
        <w:trPr>
          <w:cantSplit/>
        </w:trPr>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측정 품질</w:t>
            </w:r>
          </w:p>
        </w:tc>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유효 프레임 비율, 깊이 결측, 추적 실패, 가림 구간</w:t>
            </w:r>
          </w:p>
        </w:tc>
      </w:tr>
      <w:tr>
        <w:trPr>
          <w:cantSplit/>
        </w:trPr>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선택적 탐색 특징</w:t>
            </w:r>
          </w:p>
        </w:tc>
        <w:tc>
          <w:tcPr>
            <w:tcW w:type="dxa" w:w="77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반복별 변동·유지 구간 거리 변동. 힘 안정성으로 해석하지 않음</w:t>
            </w:r>
          </w:p>
        </w:tc>
      </w:tr>
    </w:tbl>
    <w:p>
      <w:pPr>
        <w:spacing w:after="0"/>
      </w:pPr>
    </w:p>
    <w:p>
      <w:pPr>
        <w:pStyle w:val="Heading2"/>
      </w:pPr>
      <w:r>
        <w:t>원자료와 참조 정보</w:t>
      </w:r>
    </w:p>
    <w:p>
      <w:r>
        <w:t>RGB 원본, 원본 깊이, 타임스탬프, 보정값과 깊이 단위, 카메라 설정, 지시 시각, 좌표와 특징, 처리 코드 버전을 보존한다. 계산 수치만 저장하지 않으며 저장 후 RGB·깊이 재생을 확인한다. RGB와 깊이의 정렬, 단위 및 3차원 좌표 변환을 점검하고 원본값과 필터값을 분리한다. 결측은 정상값이나 0으로 채우지 않는다.</w:t>
      </w:r>
    </w:p>
    <w:p>
      <w:r>
        <w:t>건강인 참조는 과제별·참가자별 반복 대표값을 먼저 구한 뒤 집단 분포로 만든다. 같은 사람의 8회를 독립 표본으로 취급하지 않는다. Z-score는 참조 평균 대비 위치이며 성공·실패의 정답이 아니다. 환자 시험 결과를 보고 참조나 특징을 다시 조정하지 않는다. 정밀 관절각은 별도 검증 없이는 핵심 입력에 포함하지 않는다.</w:t>
      </w:r>
    </w:p>
    <w:p>
      <w:pPr>
        <w:pStyle w:val="Heading1"/>
        <w:pageBreakBefore/>
      </w:pPr>
      <w:r>
        <w:t>5 전문가 판독과 모델 비교</w:t>
      </w:r>
    </w:p>
    <w:p>
      <w:pPr>
        <w:pStyle w:val="Heading2"/>
      </w:pPr>
      <w:r>
        <w:t>독립적인 평가 기준</w:t>
      </w:r>
    </w:p>
    <w:p>
      <w:r>
        <w:t>전문가 2인은 모델 출력과 계산 수치를 보지 않고 각 시행을 판독한다. 목표 형태, 2초 유지, 능동적 접촉 해제를 각각 완료·미완료·판독 불가 등으로 기록하며, 해당 없음과 도움·중단도 구분한다. 불일치 해결 절차를 사전 합의하고 최초 판독을 보존해 전문가 간 일치도를 보고한다.</w:t>
      </w:r>
    </w:p>
    <w:p>
      <w:r>
        <w:t>물체 과제의 기존 연구용 등급은 0점: 목표 파지 형태 미완성, 1점: 형태 완성 후 유지 또는 능동 해제 미완료, 2점: 형태·유지·능동 해제 모두 완료이다. 판독 불가를 0점으로 바꾸지 않는다. 이 등급은 표준 FMA 점수가 아니다. 맨손 개폐에는 물체 파지 등급을 그대로 적용하지 않으며, 관찰 가능한 개폐 완료 판독 기준을 확정하기 전까지 물체 등급과 합산하지 않는다.</w:t>
      </w:r>
    </w:p>
    <w:tbl>
      <w:tblPr>
        <w:tblW w:type="auto" w:w="0"/>
        <w:tblLayout w:type="fixed"/>
        <w:tblLook w:firstColumn="1" w:firstRow="1" w:lastColumn="0" w:lastRow="0" w:noHBand="0" w:noVBand="1" w:val="04A0"/>
      </w:tblPr>
      <w:tblGrid>
        <w:gridCol w:w="792"/>
        <w:gridCol w:w="5040"/>
        <w:gridCol w:w="3960"/>
      </w:tblGrid>
      <w:tr>
        <w:trPr>
          <w:cantSplit/>
          <w:tblHeader/>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line="264" w:lineRule="auto"/>
            </w:pPr>
            <w:r>
              <w:rPr>
                <w:b/>
                <w:sz w:val="20"/>
              </w:rPr>
              <w:t>조건</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line="264" w:lineRule="auto"/>
            </w:pPr>
            <w:r>
              <w:rPr>
                <w:b/>
                <w:sz w:val="20"/>
              </w:rPr>
              <w:t>입력</w:t>
            </w:r>
          </w:p>
        </w:tc>
        <w:tc>
          <w:tcPr>
            <w:tcW w:type="dxa" w:w="3960"/>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line="264" w:lineRule="auto"/>
            </w:pPr>
            <w:r>
              <w:rPr>
                <w:b/>
                <w:sz w:val="20"/>
              </w:rPr>
              <w:t>역할</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A1</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영상＋과제 평가 지침</w:t>
            </w:r>
          </w:p>
        </w:tc>
        <w:tc>
          <w:tcPr>
            <w:tcW w:type="dxa" w:w="39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영상 단독 기준</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A2</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같은 영상＋운동학 특징＋지침</w:t>
            </w:r>
          </w:p>
        </w:tc>
        <w:tc>
          <w:tcPr>
            <w:tcW w:type="dxa" w:w="39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수치 추가</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A3</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같은 영상＋특징＋건강인 참조＋지침</w:t>
            </w:r>
          </w:p>
        </w:tc>
        <w:tc>
          <w:tcPr>
            <w:tcW w:type="dxa" w:w="39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전체 결합</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A4</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같은 특징＋참조＋지침</w:t>
            </w:r>
          </w:p>
        </w:tc>
        <w:tc>
          <w:tcPr>
            <w:tcW w:type="dxa" w:w="39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영상 없이 평가</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A0</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같은 특징＋참조 기반 단순 통계 모델</w:t>
            </w:r>
          </w:p>
        </w:tc>
        <w:tc>
          <w:tcPr>
            <w:tcW w:type="dxa" w:w="39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단순 방법 기준</w:t>
            </w:r>
          </w:p>
        </w:tc>
      </w:tr>
    </w:tbl>
    <w:p>
      <w:pPr>
        <w:spacing w:after="0"/>
      </w:pPr>
    </w:p>
    <w:p>
      <w:r>
        <w:t>A1–A4는 텍스트 단독 입력도 지원하는 동일한 모델·버전을 사용한다. A4에는 숫자를 표나 구조화된 텍스트로 제공하며 빈 이미지나 숫자 스크린샷을 억지로 넣지 않는다. 평가 지침, 출력 형식, 시행 경계 정보, 생성 설정과 예시 사용 정책은 통일하고 각 시행은 독립 문맥으로 처리한다. 영상 조건끼리는 동일 프레임을 사용한다.</w:t>
      </w:r>
    </w:p>
    <w:p>
      <w:r>
        <w:t>전문가 판독, FMA 점수, 성공 라벨, 라벨을 유추할 파일명은 입력에서 제외한다. 수치와 참조에는 단위·유효 측정률·결측 상태를 명시한다. 개발 참가자와 최종 시험 참가자를 분리하며, 특징 선택·프롬프트·임곗값을 시험 자료로 조정하지 않는다. A0의 모델 선택·전처리는 참가자 단위 학습 분할 안에서 수행한다.</w:t>
      </w:r>
    </w:p>
    <w:p>
      <w:r>
        <w:t>시작·접촉·해제 시점을 사람이 표시했다면 그 개입과 적용 조건을 기록한다. 전문가의 정답 판독을 사건 표시에 재사용하지 않으며, 수동 사건 표시는 반자동 처리로 보고한다. 모델 출력은 항목 판정, 연구용 등급, 짧은 관찰 근거, 판독 불가 여부로 제한한다.</w:t>
      </w:r>
    </w:p>
    <w:p>
      <w:pPr>
        <w:pStyle w:val="Heading1"/>
        <w:pageBreakBefore/>
      </w:pPr>
      <w:r>
        <w:t>6 분석 계획과 연구 해석</w:t>
      </w:r>
    </w:p>
    <w:p>
      <w:pPr>
        <w:pStyle w:val="Heading2"/>
      </w:pPr>
      <w:r>
        <w:t>주 분석</w:t>
      </w:r>
    </w:p>
    <w:p>
      <w:r>
        <w:t>주 결과는 물체 과제의 연구용 완료 등급에 대한 참가자별 평균 절대오차이다. 각 참가자 안에서 시행 오차를 과제별로 요약하고 과제 평균을 동일 가중으로 결합한다. 주 비교는 A3−A1의 참가자별 차이이며 음수는 개선 방향이다. 맨손 과제는 별도 사전 확정 기준으로 분석하고 다른 의미의 점수를 임의 합산하지 않는다.</w:t>
      </w:r>
    </w:p>
    <w:p>
      <w:r>
        <w:t>참가자를 재표집 단위로 하는 대응 부트스트랩 등으로 평균 차이와 95% 신뢰구간을 산출한다. 동일 참가자의 시행 묶음을 함께 유지한다. 작은 표본에서는 신뢰구간이 불안정할 수 있으므로 참가자별 차이도 제시한다. 보조 비교는 탐색적으로 표시하고 확인적 다중 검정을 시행한다면 보정 방법을 사전 지정한다.</w:t>
      </w:r>
    </w:p>
    <w:p>
      <w:pPr>
        <w:pStyle w:val="Heading2"/>
      </w:pPr>
      <w:r>
        <w:t>실패를 포함한 보조 분석</w:t>
      </w:r>
    </w:p>
    <w:p>
      <w:r>
        <w:t>항목별 일치율·혼동행렬, 가중 카파, 전문가 간 일치도, 참가자별 개선·악화, 과제별 오류를 보고한다. 모델의 출력 실패·판독 포기와 측정 결측률을 별도로 제시한다. 조건 비교는 공통 평가 가능 시행의 조건부 오차와 전체 시행에서의 유효 판정률을 함께 보고한다. 판정 가능한 쉬운 시행만 남아 성능이 높아 보이지 않도록, 전문가가 판독 가능한 전체 시행에서 모델 무응답을 오답으로 처리한 정확도도 제시한다.</w:t>
      </w:r>
    </w:p>
    <w:p>
      <w:r>
        <w:t>동일 입력의 반복 호출로 판정 변동을 확인하며 호출 횟수와 대상 선정은 사전 고정한다. 수치를 잘못 인용하거나 영상에서 확인할 수 없는 근력·경직 등을 단정하는 출력을 오류 사례로 분류한다. 추적 실패와 실제 과제 실패는 서로 다른 사건으로 기록한다.</w:t>
      </w:r>
    </w:p>
    <w:p>
      <w:pPr>
        <w:pStyle w:val="Heading2"/>
      </w:pPr>
      <w:r>
        <w:t>결과 해석</w:t>
      </w:r>
    </w:p>
    <w:p>
      <w:r>
        <w:t>A2가 A1보다 우수하면 수치 추가의 효과, A3가 A2보다 우수하면 참조 추가의 효과를 지지한다. A3가 A4보다 우수하면 주어진 수치 외에 영상이 기여했음을 지지한다. A3가 A0보다 우수하지 않으면 현재 과제에서 복잡한 결합 접근의 이득이 제한적일 수 있다. 개선의 통계적 불확실성과 오류 감소의 크기를 함께 제시한다.</w:t>
      </w:r>
    </w:p>
    <w:p>
      <w:r>
        <w:t>표준 FMA가 별도로 수집되면 참가자별 과제 결과와의 연관성을 보조적으로 검토한다. 상관관계를 척도 대체나 치료 반응 검출의 증거로 해석하지 않는다. 정적 거리 검증, 제한된 표본·촬영 조건, 수동 사건 표시와 소수 특징의 정보 손실은 결과의 적용 범위를 제한한다.</w:t>
      </w:r>
    </w:p>
    <w:p>
      <w:pPr>
        <w:pStyle w:val="Heading1"/>
        <w:pageBreakBefore/>
      </w:pPr>
      <w:r>
        <w:t>7 실행 단계와 제출 전 확정 사항</w:t>
      </w:r>
    </w:p>
    <w:tbl>
      <w:tblPr>
        <w:tblW w:type="auto" w:w="0"/>
        <w:tblLayout w:type="fixed"/>
        <w:tblLook w:firstColumn="1" w:firstRow="1" w:lastColumn="0" w:lastRow="0" w:noHBand="0" w:noVBand="1" w:val="04A0"/>
      </w:tblPr>
      <w:tblGrid>
        <w:gridCol w:w="1296"/>
        <w:gridCol w:w="4824"/>
        <w:gridCol w:w="3672"/>
      </w:tblGrid>
      <w:tr>
        <w:trPr>
          <w:cantSplit/>
          <w:tblHeader/>
        </w:trPr>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line="264" w:lineRule="auto"/>
            </w:pPr>
            <w:r>
              <w:rPr>
                <w:b/>
                <w:sz w:val="20"/>
              </w:rPr>
              <w:t>단계</w:t>
            </w:r>
          </w:p>
        </w:tc>
        <w:tc>
          <w:tcPr>
            <w:tcW w:type="dxa" w:w="4824"/>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line="264" w:lineRule="auto"/>
            </w:pPr>
            <w:r>
              <w:rPr>
                <w:b/>
                <w:sz w:val="20"/>
              </w:rPr>
              <w:t>완료해야 할 일</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60" w:line="264" w:lineRule="auto"/>
            </w:pPr>
            <w:r>
              <w:rPr>
                <w:b/>
                <w:sz w:val="20"/>
              </w:rPr>
              <w:t>다음 단계 조건</w:t>
            </w:r>
          </w:p>
        </w:tc>
      </w:tr>
      <w:tr>
        <w:trPr>
          <w:cantSplit/>
        </w:trPr>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예비 촬영</w:t>
            </w:r>
          </w:p>
        </w:tc>
        <w:tc>
          <w:tcPr>
            <w:tcW w:type="dxa" w:w="48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RGB·깊이 기록과 재생, 손 추적 확인</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원자료를 다시 처리할 수 있음</w:t>
            </w:r>
          </w:p>
        </w:tc>
      </w:tr>
      <w:tr>
        <w:trPr>
          <w:cantSplit/>
        </w:trPr>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최소 검증</w:t>
            </w:r>
          </w:p>
        </w:tc>
        <w:tc>
          <w:tcPr>
            <w:tcW w:type="dxa" w:w="48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표준물·정적 손 거리, 시간·횟수, 결측 확인</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사용 특징과 품질 규칙 확정</w:t>
            </w:r>
          </w:p>
        </w:tc>
      </w:tr>
      <w:tr>
        <w:trPr>
          <w:cantSplit/>
        </w:trPr>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절차 고정</w:t>
            </w:r>
          </w:p>
        </w:tc>
        <w:tc>
          <w:tcPr>
            <w:tcW w:type="dxa" w:w="48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과제·판독 예시·입력·분석 방식 확정</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시험 자료와 개발 자료 분리</w:t>
            </w:r>
          </w:p>
        </w:tc>
      </w:tr>
      <w:tr>
        <w:trPr>
          <w:cantSplit/>
        </w:trPr>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본 수집</w:t>
            </w:r>
          </w:p>
        </w:tc>
        <w:tc>
          <w:tcPr>
            <w:tcW w:type="dxa" w:w="48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건강인 참조와 환자 시행 수집</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동일 설정과 원자료 보존</w:t>
            </w:r>
          </w:p>
        </w:tc>
      </w:tr>
      <w:tr>
        <w:trPr>
          <w:cantSplit/>
        </w:trPr>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독립 평가</w:t>
            </w:r>
          </w:p>
        </w:tc>
        <w:tc>
          <w:tcPr>
            <w:tcW w:type="dxa" w:w="48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전문가 판독과 A0–A4 평가</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정답 유출 없는 결과 확보</w:t>
            </w:r>
          </w:p>
        </w:tc>
      </w:tr>
      <w:tr>
        <w:trPr>
          <w:cantSplit/>
        </w:trPr>
        <w:tc>
          <w:tcPr>
            <w:tcW w:type="dxa" w:w="12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분석과 작성</w:t>
            </w:r>
          </w:p>
        </w:tc>
        <w:tc>
          <w:tcPr>
            <w:tcW w:type="dxa" w:w="48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대응 비교·실패율·오류 사례 해석</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64" w:lineRule="auto"/>
            </w:pPr>
            <w:r>
              <w:rPr>
                <w:b w:val="0"/>
                <w:sz w:val="20"/>
              </w:rPr>
              <w:t>효과와 한계를 함께 보고</w:t>
            </w:r>
          </w:p>
        </w:tc>
      </w:tr>
    </w:tbl>
    <w:p>
      <w:pPr>
        <w:spacing w:after="0"/>
      </w:pPr>
    </w:p>
    <w:p>
      <w:pPr>
        <w:pStyle w:val="Heading2"/>
      </w:pPr>
      <w:r>
        <w:t>제출 전 반드시 채울 항목</w:t>
      </w:r>
    </w:p>
    <w:p>
      <w:r>
        <w:t>참가자 목표 수와 산정 근거, 모집 기관, 선정·제외 기준, 기존 물체 과제 3종의 명칭과 규격, 맨손 끝 자세 유지 시간과 판독 기준, RealSense 모델과 촬영 설정, 사용 VLM 버전 및 프레임 추출 방식, A0 알고리즘, 최소 검증 허용 오차, 결측 판정 규칙, 반복 호출 횟수와 불일치 해결 절차를 확정한다. 이는 새로운 실험을 추가하는 항목이 아니라 기존 설계를 실행 가능한 프로토콜로 고정하는 항목이다.</w:t>
      </w:r>
    </w:p>
    <w:p>
      <w:pPr>
        <w:pStyle w:val="Heading2"/>
      </w:pPr>
      <w:r>
        <w:t>연구윤리와 데이터 관리</w:t>
      </w:r>
    </w:p>
    <w:p>
      <w:r>
        <w:t>인체 대상 자료 수집은 기관의 연구 승인과 참여 동의 범위에서 수행한다. 식별자와 분석 자료를 분리하고 접근 권한·보관 기간을 정한다. 외부 모델 서비스를 사용하는 경우 영상 전송·보관 조건을 승인 및 동의 범위와 맞춘다. 모델 평가 결과는 연구 목적으로 사용하며 환자의 치료 결정이나 임상 기록을 자동 변경하지 않는다.</w:t>
      </w:r>
    </w:p>
    <w:p>
      <w:pPr>
        <w:pStyle w:val="Heading2"/>
      </w:pPr>
      <w:r>
        <w:t>기대 성과</w:t>
      </w:r>
    </w:p>
    <w:p>
      <w:r>
        <w:t>본 연구는 영상만으로 평가하던 VLM에 측정 특징을 제공하는 방법이 실제 손 과제 판단 오류를 줄이는지 검증한다. 효과가 확인되면 재활 평가 자동화를 향한 후속 연구의 기반이 되며, 효과가 제한되면 영상·특징·참조 중 어떤 정보가 불필요하거나 오류를 유발하는지 밝힌다. 완전 무인화와 임상적 효용은 후속 검증 목표로 유지한다.</w:t>
      </w:r>
    </w:p>
    <w:p>
      <w:r>
        <w:t>참고문헌 안내: 다음 목록은 사용자가 제공한 12편을 유지한 식별용 서지 목록이다. 본문 근거의 범위에 맞춰 인용하며 일부 논문은 공개 사전논문 또는 기관 초록으로 확인했다. 정식 투고 시 출판본의 전체 저자와 최종 서지사항을 목표 저널 형식에 맞춰 정리한다.</w:t>
      </w:r>
    </w:p>
    <w:p>
      <w:pPr>
        <w:pStyle w:val="Heading1"/>
        <w:pageBreakBefore/>
      </w:pPr>
      <w:r>
        <w:t>8 참고문헌</w:t>
      </w:r>
    </w:p>
    <w:p>
      <w:pPr>
        <w:spacing w:after="60"/>
      </w:pPr>
      <w:r>
        <w:t>[1] Li et al. (2026). Vision-language models for human motion understanding: Lessons from stroke rehabilitation. PLOS Digital Health, 5(7), e0001506.</w:t>
      </w:r>
    </w:p>
    <w:p>
      <w:hyperlink r:id="rId10">
        <w:r>
          <w:t>https://doi.org/10.1371/journal.pdig.0001506</w:t>
        </w:r>
      </w:hyperlink>
    </w:p>
    <w:p>
      <w:pPr>
        <w:spacing w:after="60"/>
      </w:pPr>
      <w:r>
        <w:t>[2] Amprimo et al. (2024). Hand tracking for clinical applications: Validation of the Google MediaPipe Hand (GMH) and the depth-enhanced GMH-D frameworks. Biomedical Signal Processing and Control, 96, 106508.</w:t>
      </w:r>
    </w:p>
    <w:p>
      <w:hyperlink r:id="rId11">
        <w:r>
          <w:t>https://doi.org/10.1016/j.bspc.2024.106508</w:t>
        </w:r>
      </w:hyperlink>
    </w:p>
    <w:p>
      <w:pPr>
        <w:spacing w:after="60"/>
      </w:pPr>
      <w:r>
        <w:t>[3] Qiu et al. (2022). Evaluation of Changes in Kinematic Measures of Three Dimensional Reach to Grasp Movements in the Early Subacute Period of Recovery from Stroke. IEEE EMBC, 5107–5110.</w:t>
      </w:r>
    </w:p>
    <w:p>
      <w:hyperlink r:id="rId12">
        <w:r>
          <w:t>https://doi.org/10.1109/EMBC48229.2022.9871891</w:t>
        </w:r>
      </w:hyperlink>
    </w:p>
    <w:p>
      <w:pPr>
        <w:spacing w:after="60"/>
      </w:pPr>
      <w:r>
        <w:t>[4] Collins et al. (2018). Getting a kinematic handle on reach-to-grasp: A meta-analysis. Physiotherapy, 104(2), 153–166.</w:t>
      </w:r>
    </w:p>
    <w:p>
      <w:hyperlink r:id="rId13">
        <w:r>
          <w:t>https://doi.org/10.1016/j.physio.2017.10.002</w:t>
        </w:r>
      </w:hyperlink>
    </w:p>
    <w:p>
      <w:pPr>
        <w:spacing w:after="60"/>
      </w:pPr>
      <w:r>
        <w:t>[5] Lang et al. (2005). Deficits in grasp versus reach during acute hemiparesis. Experimental Brain Research, 166(1), 126–136.</w:t>
      </w:r>
    </w:p>
    <w:p>
      <w:hyperlink r:id="rId14">
        <w:r>
          <w:t>https://doi.org/10.1007/s00221-005-2350-6</w:t>
        </w:r>
      </w:hyperlink>
    </w:p>
    <w:p>
      <w:pPr>
        <w:spacing w:after="60"/>
      </w:pPr>
      <w:r>
        <w:t>[6] Schaefer et al. (2012). Grip type and task goal modify reach-to-grasp performance in post-stroke hemiparesis. Motor Control, 16(2), 245–264.</w:t>
      </w:r>
    </w:p>
    <w:p>
      <w:hyperlink r:id="rId15">
        <w:r>
          <w:t>https://doi.org/10.1123/mcj.16.2.245</w:t>
        </w:r>
      </w:hyperlink>
    </w:p>
    <w:p>
      <w:pPr>
        <w:pStyle w:val="Heading1"/>
        <w:pageBreakBefore/>
      </w:pPr>
      <w:r>
        <w:t>참고문헌 계속</w:t>
      </w:r>
    </w:p>
    <w:p>
      <w:pPr>
        <w:spacing w:after="60"/>
      </w:pPr>
      <w:r>
        <w:t>[7] Seo et al. (2009). Delays in Grip Initiation and Termination in Persons With Stroke: Effects of Arm Support and Active Muscle Stretch Exercise. Journal of Neurophysiology, 101(6), 3108–3115.</w:t>
      </w:r>
    </w:p>
    <w:p>
      <w:hyperlink r:id="rId16">
        <w:r>
          <w:t>https://doi.org/10.1152/jn.91108.2008</w:t>
        </w:r>
      </w:hyperlink>
    </w:p>
    <w:p>
      <w:pPr>
        <w:spacing w:after="60"/>
      </w:pPr>
      <w:r>
        <w:t>[8] Lang, DeJong, &amp; Beebe (2009). Recovery of Thumb and Finger Extension and Its Relation to Grasp Performance After Stroke. Journal of Neurophysiology, 102(1), 451–459.</w:t>
      </w:r>
    </w:p>
    <w:p>
      <w:hyperlink r:id="rId17">
        <w:r>
          <w:t>https://doi.org/10.1152/jn.91310.2008</w:t>
        </w:r>
      </w:hyperlink>
    </w:p>
    <w:p>
      <w:pPr>
        <w:spacing w:after="60"/>
      </w:pPr>
      <w:r>
        <w:t>[9] Zhu et al. (2018). Characterization of the Stroke-Induced Changes in the Variability and Complexity of Handgrip Force. Entropy, 20(5), 377.</w:t>
      </w:r>
    </w:p>
    <w:p>
      <w:hyperlink r:id="rId18">
        <w:r>
          <w:t>https://doi.org/10.3390/e20050377</w:t>
        </w:r>
      </w:hyperlink>
    </w:p>
    <w:p>
      <w:pPr>
        <w:spacing w:after="60"/>
      </w:pPr>
      <w:r>
        <w:t>[10] Tang, Abedi, Colella, &amp; Khan (2025). Rehabilitation Exercise Quality Assessment and Feedback Generation Using Large Language Models with Prompt Engineering. ARIAL 2025, CCIS 2620, 60–75.</w:t>
      </w:r>
    </w:p>
    <w:p>
      <w:hyperlink r:id="rId19">
        <w:r>
          <w:t>https://doi.org/10.1007/978-981-95-0568-5_5</w:t>
        </w:r>
      </w:hyperlink>
    </w:p>
    <w:p>
      <w:pPr>
        <w:spacing w:after="60"/>
      </w:pPr>
      <w:r>
        <w:t>[11] Kim et al. (2024). Automatic Assessment of Upper Extremity Function and Mobile Application for Self-Administered Stroke Rehabilitation. IEEE Transactions on Neural Systems and Rehabilitation Engineering, 32, 652–661.</w:t>
      </w:r>
    </w:p>
    <w:p>
      <w:hyperlink r:id="rId20">
        <w:r>
          <w:t>https://doi.org/10.1109/TNSRE.2024.3358497</w:t>
        </w:r>
      </w:hyperlink>
    </w:p>
    <w:p>
      <w:pPr>
        <w:spacing w:after="60"/>
      </w:pPr>
      <w:r>
        <w:t>[12] Patterson et al. (2011). Reliability of Upper Extremity Kinematics While Performing Different Tasks in Individuals With Stroke. Journal of Motor Behavior, 43(2), 121–130.</w:t>
      </w:r>
    </w:p>
    <w:p>
      <w:hyperlink r:id="rId21">
        <w:r>
          <w:t>https://doi.org/10.1080/00222895.2010.548422</w:t>
        </w:r>
      </w:hyperlink>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연구계획서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88" w:lineRule="auto"/>
    </w:pPr>
    <w:rPr>
      <w:rFonts w:ascii="NanumGothic" w:hAnsi="NanumGothic" w:eastAsia="NanumGothic" w:cs="Nanum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88" w:lineRule="auto"/>
      <w:outlineLvl w:val="0"/>
    </w:pPr>
    <w:rPr>
      <w:rFonts w:ascii="NanumGothic" w:hAnsi="NanumGothic" w:eastAsia="NanumGothic" w:cs="Nanum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line="288" w:lineRule="auto"/>
      <w:outlineLvl w:val="1"/>
    </w:pPr>
    <w:rPr>
      <w:rFonts w:ascii="NanumGothic" w:hAnsi="NanumGothic" w:eastAsia="NanumGothic" w:cs="Nanum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anumGothic" w:hAnsi="NanumGothic" w:eastAsia="NanumGothic" w:cs="Nanum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anumGothic" w:hAnsi="NanumGothic" w:eastAsia="NanumGothic" w:cs="Nanum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anumGothic" w:hAnsi="NanumGothic" w:eastAsia="NanumGothic" w:cs="Nanum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anumGothic" w:hAnsi="NanumGothic" w:eastAsia="NanumGothic" w:cs="Nanum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anumGothic" w:hAnsi="NanumGothic" w:eastAsia="NanumGothic" w:cs="Nanum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anumGothic" w:hAnsi="NanumGothic" w:eastAsia="NanumGothic" w:cs="Nanum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anumGothic" w:hAnsi="NanumGothic" w:eastAsia="NanumGothic" w:cs="NanumGothi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NanumGothic" w:hAnsi="NanumGothic" w:eastAsia="NanumGothic" w:cs="NanumGoth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anumGothic" w:hAnsi="NanumGothic" w:eastAsia="NanumGothic" w:cs="NanumGothic"/>
      <w:b/>
      <w:bCs/>
      <w:color w:val="4F81BD" w:themeColor="accent1"/>
      <w:sz w:val="26"/>
      <w:szCs w:val="26"/>
    </w:rPr>
  </w:style>
  <w:style w:type="character" w:customStyle="1" w:styleId="Heading3Char">
    <w:name w:val="Heading 3 Char"/>
    <w:basedOn w:val="DefaultParagraphFont"/>
    <w:link w:val="Heading3"/>
    <w:uiPriority w:val="9"/>
    <w:rsid w:val="00FC693F"/>
    <w:rPr>
      <w:rFonts w:ascii="NanumGothic" w:hAnsi="NanumGothic" w:eastAsia="NanumGothic" w:cs="NanumGothic"/>
      <w:b/>
      <w:bCs/>
      <w:color w:val="4F81BD" w:themeColor="accent1"/>
    </w:rPr>
  </w:style>
  <w:style w:type="paragraph" w:styleId="Title">
    <w:name w:val="Title"/>
    <w:basedOn w:val="Normal"/>
    <w:next w:val="Normal"/>
    <w:link w:val="TitleChar"/>
    <w:uiPriority w:val="10"/>
    <w:qFormat/>
    <w:rsid w:val="00FC693F"/>
    <w:pPr>
      <w:spacing w:after="160" w:line="288" w:lineRule="auto"/>
      <w:contextualSpacing/>
    </w:pPr>
    <w:rPr>
      <w:rFonts w:ascii="NanumGothic" w:hAnsi="NanumGothic" w:eastAsia="NanumGothic" w:cs="NanumGothic"/>
      <w:color w:val="000000"/>
      <w:spacing w:val="5"/>
      <w:kern w:val="28"/>
      <w:sz w:val="42"/>
      <w:szCs w:val="52"/>
    </w:rPr>
  </w:style>
  <w:style w:type="character" w:customStyle="1" w:styleId="TitleChar">
    <w:name w:val="Title Char"/>
    <w:basedOn w:val="DefaultParagraphFont"/>
    <w:link w:val="Title"/>
    <w:uiPriority w:val="10"/>
    <w:rsid w:val="00FC693F"/>
    <w:rPr>
      <w:rFonts w:ascii="NanumGothic" w:hAnsi="NanumGothic" w:eastAsia="NanumGothic" w:cs="NanumGoth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anumGothic" w:hAnsi="NanumGothic" w:eastAsia="NanumGothic" w:cs="Nanum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NanumGothic" w:hAnsi="NanumGothic" w:eastAsia="NanumGothic" w:cs="NanumGoth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anumGothic" w:hAnsi="NanumGothic" w:eastAsia="NanumGothic" w:cs="NanumGothic"/>
      <w:sz w:val="20"/>
      <w:szCs w:val="20"/>
    </w:rPr>
  </w:style>
  <w:style w:type="character" w:customStyle="1" w:styleId="MacroTextChar">
    <w:name w:val="Macro Text Char"/>
    <w:basedOn w:val="DefaultParagraphFont"/>
    <w:link w:val="MacroText"/>
    <w:uiPriority w:val="99"/>
    <w:rsid w:val="0029639D"/>
    <w:rPr>
      <w:rFonts w:ascii="NanumGothic" w:hAnsi="NanumGothic" w:eastAsia="NanumGothic" w:cs="NanumGothi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NanumGothic" w:hAnsi="NanumGothic" w:eastAsia="NanumGothic" w:cs="NanumGothic"/>
      <w:b/>
      <w:bCs/>
      <w:i/>
      <w:iCs/>
      <w:color w:val="4F81BD" w:themeColor="accent1"/>
    </w:rPr>
  </w:style>
  <w:style w:type="character" w:customStyle="1" w:styleId="Heading5Char">
    <w:name w:val="Heading 5 Char"/>
    <w:basedOn w:val="DefaultParagraphFont"/>
    <w:link w:val="Heading5"/>
    <w:uiPriority w:val="9"/>
    <w:semiHidden/>
    <w:rsid w:val="00FC693F"/>
    <w:rPr>
      <w:rFonts w:ascii="NanumGothic" w:hAnsi="NanumGothic" w:eastAsia="NanumGothic" w:cs="NanumGothic"/>
      <w:color w:val="243F60" w:themeColor="accent1" w:themeShade="7F"/>
    </w:rPr>
  </w:style>
  <w:style w:type="character" w:customStyle="1" w:styleId="Heading6Char">
    <w:name w:val="Heading 6 Char"/>
    <w:basedOn w:val="DefaultParagraphFont"/>
    <w:link w:val="Heading6"/>
    <w:uiPriority w:val="9"/>
    <w:semiHidden/>
    <w:rsid w:val="00FC693F"/>
    <w:rPr>
      <w:rFonts w:ascii="NanumGothic" w:hAnsi="NanumGothic" w:eastAsia="NanumGothic" w:cs="NanumGothic"/>
      <w:i/>
      <w:iCs/>
      <w:color w:val="243F60" w:themeColor="accent1" w:themeShade="7F"/>
    </w:rPr>
  </w:style>
  <w:style w:type="character" w:customStyle="1" w:styleId="Heading7Char">
    <w:name w:val="Heading 7 Char"/>
    <w:basedOn w:val="DefaultParagraphFont"/>
    <w:link w:val="Heading7"/>
    <w:uiPriority w:val="9"/>
    <w:semiHidden/>
    <w:rsid w:val="00FC693F"/>
    <w:rPr>
      <w:rFonts w:ascii="NanumGothic" w:hAnsi="NanumGothic" w:eastAsia="NanumGothic" w:cs="NanumGothic"/>
      <w:i/>
      <w:iCs/>
      <w:color w:val="404040" w:themeColor="text1" w:themeTint="BF"/>
    </w:rPr>
  </w:style>
  <w:style w:type="character" w:customStyle="1" w:styleId="Heading8Char">
    <w:name w:val="Heading 8 Char"/>
    <w:basedOn w:val="DefaultParagraphFont"/>
    <w:link w:val="Heading8"/>
    <w:uiPriority w:val="9"/>
    <w:semiHidden/>
    <w:rsid w:val="00FC693F"/>
    <w:rPr>
      <w:rFonts w:ascii="NanumGothic" w:hAnsi="NanumGothic" w:eastAsia="NanumGothic" w:cs="NanumGothic"/>
      <w:color w:val="4F81BD" w:themeColor="accent1"/>
      <w:sz w:val="20"/>
      <w:szCs w:val="20"/>
    </w:rPr>
  </w:style>
  <w:style w:type="character" w:customStyle="1" w:styleId="Heading9Char">
    <w:name w:val="Heading 9 Char"/>
    <w:basedOn w:val="DefaultParagraphFont"/>
    <w:link w:val="Heading9"/>
    <w:uiPriority w:val="9"/>
    <w:semiHidden/>
    <w:rsid w:val="00FC693F"/>
    <w:rPr>
      <w:rFonts w:ascii="NanumGothic" w:hAnsi="NanumGothic" w:eastAsia="NanumGothic" w:cs="NanumGoth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anumGothic" w:hAnsi="NanumGothic" w:eastAsia="NanumGothic" w:cs="NanumGothi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anumGothic" w:hAnsi="NanumGothic" w:eastAsia="NanumGothic" w:cs="NanumGothi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anumGothic" w:hAnsi="NanumGothic" w:eastAsia="NanumGothic" w:cs="NanumGothi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anumGothic" w:hAnsi="NanumGothic" w:eastAsia="NanumGothic" w:cs="NanumGothi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anumGothic" w:hAnsi="NanumGothic" w:eastAsia="NanumGothic" w:cs="NanumGothi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anumGothic" w:hAnsi="NanumGothic" w:eastAsia="NanumGothic" w:cs="NanumGothi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anumGothic" w:hAnsi="NanumGothic" w:eastAsia="NanumGothic" w:cs="NanumGothi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371/journal.pdig.0001506" TargetMode="External"/><Relationship Id="rId11" Type="http://schemas.openxmlformats.org/officeDocument/2006/relationships/hyperlink" Target="https://doi.org/10.1016/j.bspc.2024.106508" TargetMode="External"/><Relationship Id="rId12" Type="http://schemas.openxmlformats.org/officeDocument/2006/relationships/hyperlink" Target="https://doi.org/10.1109/EMBC48229.2022.9871891" TargetMode="External"/><Relationship Id="rId13" Type="http://schemas.openxmlformats.org/officeDocument/2006/relationships/hyperlink" Target="https://doi.org/10.1016/j.physio.2017.10.002" TargetMode="External"/><Relationship Id="rId14" Type="http://schemas.openxmlformats.org/officeDocument/2006/relationships/hyperlink" Target="https://doi.org/10.1007/s00221-005-2350-6" TargetMode="External"/><Relationship Id="rId15" Type="http://schemas.openxmlformats.org/officeDocument/2006/relationships/hyperlink" Target="https://doi.org/10.1123/mcj.16.2.245" TargetMode="External"/><Relationship Id="rId16" Type="http://schemas.openxmlformats.org/officeDocument/2006/relationships/hyperlink" Target="https://doi.org/10.1152/jn.91108.2008" TargetMode="External"/><Relationship Id="rId17" Type="http://schemas.openxmlformats.org/officeDocument/2006/relationships/hyperlink" Target="https://doi.org/10.1152/jn.91310.2008" TargetMode="External"/><Relationship Id="rId18" Type="http://schemas.openxmlformats.org/officeDocument/2006/relationships/hyperlink" Target="https://doi.org/10.3390/e20050377" TargetMode="External"/><Relationship Id="rId19" Type="http://schemas.openxmlformats.org/officeDocument/2006/relationships/hyperlink" Target="https://doi.org/10.1007/978-981-95-0568-5_5" TargetMode="External"/><Relationship Id="rId20" Type="http://schemas.openxmlformats.org/officeDocument/2006/relationships/hyperlink" Target="https://doi.org/10.1109/TNSRE.2024.3358497" TargetMode="External"/><Relationship Id="rId21" Type="http://schemas.openxmlformats.org/officeDocument/2006/relationships/hyperlink" Target="https://doi.org/10.1080/00222895.2010.5484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