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B1D5" w14:textId="77777777" w:rsidR="00BE00AE" w:rsidRPr="00EB4E29" w:rsidRDefault="00BE00AE">
      <w:pPr>
        <w:pStyle w:val="a4"/>
        <w:keepNext/>
        <w:widowControl/>
        <w:spacing w:after="180" w:before="0"/>
        <w:jc w:val="center"/>
        <w:rPr>
          <w:rFonts w:eastAsiaTheme="minorHAnsi"/>
          <w:b/>
          <w:sz w:val="40"/>
          <w:szCs w:val="40"/>
        </w:rPr>
      </w:pPr>
      <w:r w:rsidRPr="00EB4E29">
        <w:rPr>
          <w:rFonts w:eastAsiaTheme="minorHAnsi" w:hint="eastAsia"/>
          <w:b/>
          <w:color w:val="000000"/>
          <w:sz w:val="40"/>
          <w:szCs w:val="40"/>
        </w:rPr>
        <w:t>Biweekly Research Progress Report</w:t>
      </w:r>
    </w:p>
    <w:tbl>
      <w:tblPr>
        <w:tblStyle w:val="ab"/>
        <w:tblW w:w="0" w:type="auto"/>
        <w:tblInd w:w="0" w:type="dxa"/>
        <w:tblBorders>
          <w:top w:val="single" w:sz="18" w:space="0" w:color="000000"/>
          <w:left w:val="none" w:sz="0" w:space="0" w:color="auto"/>
          <w:bottom w:val="single" w:sz="18" w:space="0" w:color="000000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1"/>
        <w:gridCol w:w="560"/>
        <w:gridCol w:w="5985"/>
      </w:tblGrid>
      <w:tr w:rsidR="00BE00AE" w:rsidRPr="00EB4E29" w14:paraId="341230AB" w14:textId="77777777">
        <w:tc>
          <w:tcPr>
            <w:tcW w:w="2027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5C21BA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Name</w:t>
            </w:r>
          </w:p>
        </w:tc>
        <w:tc>
          <w:tcPr>
            <w:tcW w:w="415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86C540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49D236" w14:textId="18954F6D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이재용</w:t>
            </w:r>
          </w:p>
        </w:tc>
      </w:tr>
      <w:tr w:rsidR="00BE00AE" w:rsidRPr="00EB4E29" w14:paraId="5FC9C715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E1DBC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Advisor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BA0C7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7DAFB0" w14:textId="4D5A6BFD" w:rsidR="00BE00AE" w:rsidRPr="00EB4E29" w:rsidRDefault="006C6721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김재효</w:t>
            </w:r>
            <w:r w:rsidR="00BE00AE" w:rsidRPr="00EB4E29">
              <w:rPr>
                <w:rFonts w:eastAsiaTheme="minorHAnsi" w:hint="eastAsia"/>
              </w:rPr>
              <w:t xml:space="preserve">                        (signature)</w:t>
            </w:r>
          </w:p>
        </w:tc>
      </w:tr>
      <w:tr w:rsidR="00BE00AE" w:rsidRPr="00EB4E29" w14:paraId="32189E1F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E749C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Period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06D06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76E413" w14:textId="3180B1DF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 xml:space="preserve">Week </w:t>
            </w:r>
            <w:r w:rsidR="00A26853" w:rsidRPr="00EB4E29">
              <w:rPr>
                <w:rFonts w:eastAsiaTheme="minorHAnsi" w:hint="eastAsia"/>
              </w:rPr>
              <w:t>4</w:t>
            </w:r>
            <w:r w:rsidRPr="00EB4E29">
              <w:rPr>
                <w:rFonts w:eastAsiaTheme="minorHAnsi" w:hint="eastAsia"/>
              </w:rPr>
              <w:t>~</w:t>
            </w:r>
            <w:r w:rsidR="00A26853" w:rsidRPr="00EB4E29">
              <w:rPr>
                <w:rFonts w:eastAsiaTheme="minorHAnsi" w:hint="eastAsia"/>
              </w:rPr>
              <w:t>5</w:t>
            </w:r>
          </w:p>
        </w:tc>
      </w:tr>
      <w:tr w:rsidR="00BE00AE" w:rsidRPr="00EB4E29" w14:paraId="02A94CE4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76D06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WBS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268BCF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CE769D" w14:textId="77777777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1.1. 세부연구주제</w:t>
            </w:r>
          </w:p>
        </w:tc>
      </w:tr>
    </w:tbl>
    <w:p>
      <w:pPr>
        <w:keepNext/>
        <w:pageBreakBefore w:val="0"/>
        <w:spacing w:after="140" w:before="200"/>
        <w:widowControl/>
        <w:pBdr>
          <w:top w:val="single" w:sz="6" w:space="4" w:color="000000"/>
        </w:pBdr>
      </w:pPr>
      <w:r>
        <w:rPr>
          <w:rFonts w:ascii="Calibri" w:hAnsi="Calibri" w:eastAsia="맑은 고딕"/>
          <w:b/>
          <w:i w:val="0"/>
          <w:color w:val="000000"/>
          <w:sz w:val="24"/>
        </w:rPr>
        <w:t>Research Results in This Biweek</w:t>
      </w:r>
    </w:p>
    <w:p>
      <w:pPr>
        <w:keepNext/>
        <w:widowControl/>
        <w:spacing w:after="80" w:before="140"/>
      </w:pPr>
      <w:r>
        <w:rPr>
          <w:rFonts w:ascii="Calibri" w:hAnsi="Calibri" w:eastAsia="맑은 고딕"/>
          <w:b/>
          <w:i w:val="0"/>
          <w:color w:val="000000"/>
          <w:sz w:val="23"/>
        </w:rPr>
        <w:t>(1) 이번 주 연구 방향 정리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평가 범위: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FMA 기반으로 검토하던 평가를 ARAT(Action Research Arm Test)의 블록 옮기기·구슬 집기 수행 평가로 구체화.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핵심 질문: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시각언어모델(VLM)에 RGB 영상과 운동학 수치를 함께 제공하면 치료사 참조점수와의 채점 오차가 줄어드는지 확인.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비교 목적: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① 수치 추가 효과 ② 자동 품질 선별 효과 ③ 같은 양의 수치를 무작위로 제외하는 효과를 비교.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연구 초점: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동일한 VLM에서 입력 자료만 바꾸고, 채점 오차와 수치 제외 비율을 함께 평가.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이번 주 정리: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주 입력을 최대 벌림(MGA)·총굴곡(TAM_total)·매끄러움(SPARC)으로 확정하고, 촬영·수치 제공·조건별 비교 계획을 정리.</w:t>
      </w:r>
    </w:p>
    <w:p>
      <w:pPr>
        <w:keepNext/>
        <w:widowControl/>
        <w:spacing w:after="80" w:before="140"/>
      </w:pPr>
      <w:r>
        <w:rPr>
          <w:rFonts w:ascii="Calibri" w:hAnsi="Calibri" w:eastAsia="맑은 고딕"/>
          <w:b/>
          <w:i w:val="0"/>
          <w:color w:val="000000"/>
          <w:sz w:val="23"/>
        </w:rPr>
        <w:t>(2) 기존 논문 조사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ARAT 표준화[1]: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공통 수행·채점 기준을 확인하여 치료사 참조점수와 VLM 점수를 비교하는 기준으로 활용.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손 운동학[2]: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비슷한 ARAT 점수에서도 손가락 움직임 차이가 관찰되어, 운동학 수치를 활용할 연구 근거로 검토.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VLM 재활평가[3]: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행동 인식에 비해 세부 기능 점수 예측에 한계가 보고되어, 수치 추가와 제공 방식의 비교 필요성을 확인.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지표 선정[4–6]: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도달·파지의 최대 벌림과 SPARC의 정의·측정 특성을 검토하여, 벌림 크기와 움직임의 매끄러움을 함께 요약.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측정 신뢰도[7,8]: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지표·과제에 따라 반복성과 무마커 측정의 신뢰도가 달라, 실제 촬영 자료에서 별도 검증할 필요성을 확인.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개인차·군집화[9]: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손 파지의 공통 협응 패턴과 개인차 분석 사례를 검토. 군집화는 후속 연구의 근거로 활용.</w:t>
      </w:r>
    </w:p>
    <w:p>
      <w:pPr>
        <w:keepNext/>
        <w:widowControl/>
        <w:spacing w:after="80" w:before="140"/>
      </w:pPr>
      <w:r>
        <w:rPr>
          <w:rFonts w:ascii="Calibri" w:hAnsi="Calibri" w:eastAsia="맑은 고딕"/>
          <w:b/>
          <w:i w:val="0"/>
          <w:color w:val="000000"/>
          <w:sz w:val="23"/>
        </w:rPr>
        <w:t>(3) 주 입력 지표 선정과 파일럿 검토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기존 파일럿: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맨손을 쥐었다 펴는 자유 개폐 자료에서 결측·반복성·앱 버전별 계산 차이를 확인. 지표 선정과 촬영 조건 점검에 활용.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최대 벌림(MGA)[4]: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엄지·검지 끝 사이 간격의 최대 추정값(mm). 손을 벌리는 크기를 요약하고, 과도한 값에 대한 상한 적용 비율을 기록.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총굴곡(TAM_total):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다섯 손가락의 관절 움직임을 합산해 요약하는 각도 추정값(°). 손가락 전체의 움직임을 보완적으로 확인.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매끄러움(SPARC)[5,6]: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움직임이 얼마나 매끄러운지 요약하는 무차원 지표. 계산 방식을 통일하여 주 입력으로 사용.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계산 방식 통일: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파일럿 SPARC 값의 불일치 원인이 앱 버전 차이임을 확인. 촬영 앱과 계산 규칙을 통일하고, 새 ARAT 자료에서 반복성을 재검증.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추가 지표: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손끝 간격 P95(K1_mp)는 MGA와 정보가 중복되어 민감도 분석용으로 기록. 최대 벌림 시점(tMGA)과 손목 이동 속도는 후속 검토 후보로 유지.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측정 환경: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촬영 각도·거리·조명·촬영 범위를 표준화하고, 깊이값 결측과 손 좌표의 유효율을 세션별로 확인.</w:t>
      </w:r>
    </w:p>
    <w:p>
      <w:pPr>
        <w:keepNext/>
        <w:widowControl/>
        <w:spacing w:after="80" w:before="140"/>
      </w:pPr>
      <w:r>
        <w:rPr>
          <w:rFonts w:ascii="Calibri" w:hAnsi="Calibri" w:eastAsia="맑은 고딕"/>
          <w:b/>
          <w:i w:val="0"/>
          <w:color w:val="000000"/>
          <w:sz w:val="23"/>
        </w:rPr>
        <w:t>(4) 실험 방법과 제공할 데이터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수행 과제: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블록 옮기기(ARAT 3번)는 큰 물체의 파지·이동, 구슬 집기(ARAT 12번)는 엄지·검지의 정밀한 맞섬을 관찰. 구슬의 지정 손가락·패드 사용 조건도 기록.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실험 구성: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비장애인 자료로 측정·선별 규칙을 점검한 뒤 뇌졸중 참여자의 반복 수행을 평가. 개발 자료와 본평가 자료를 분리하고, 본평가 전에 규칙을 확정.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수집 자료: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RGB 영상·원시 깊이 영상·손 좌표·촬영 시각을 함께 저장. 영상과 손 좌표의 시간 정합 및 프레임 수를 확인.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촬영 절차: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정지 2초 → 시작 신호 → 과제 수행 → 정지 2초로 통일. 시작 신호부터 물체 놓기 또는 제한시간까지를 분석 구간으로 사용.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제공할 수치: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시행별로 MGA(mm)·TAM_total(°)·SPARC(무차원)를 제공. 손끝 간격 P95(K1_mp)는 주 입력에 추가하지 않음.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수치 검증[7,8]: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거리와 관절각은 추정값으로 다루고, 새 ARAT 자료에서 반복성과 측정 품질을 재확인. 신뢰하기 어려운 값은 제공을 보류.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자동 품질 선별: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결측·유효 샘플 수·손 좌표의 일관성 등을 자동 검사. 사람의 가림 확인은 선별 결과의 검증 자료로 활용.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제외 방식: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신뢰하기 어려운 수치는 null(신뢰 가능한 수치 없음)로 표시. null은 0값이나 기능 저하를 뜻하지 않으며, 원본 기록과 실패 시행은 보존.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평가 기준: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현장 치료사의 항목별 0~3점을 참조점수로 사용. 평균절대오차(MAE), 수치 제외 비율과 출력 성공 여부를 함께 비교.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분석 범위: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구슬 집기를 주 분석으로, 블록 옮기기를 참고 비교로 사용. 과제를 합치지 않고 참여자별로 조건에 따른 채점 오차 변화를 비교.</w:t>
      </w:r>
    </w:p>
    <w:p>
      <w:pPr>
        <w:keepNext w:val="0"/>
        <w:widowControl/>
        <w:spacing w:after="60"/>
      </w:pPr>
      <w:r>
        <w:rPr>
          <w:rFonts w:ascii="Calibri" w:hAnsi="Calibri" w:eastAsia="맑은 고딕"/>
          <w:b/>
          <w:i w:val="0"/>
          <w:color w:val="000000"/>
          <w:sz w:val="22"/>
        </w:rPr>
        <w:t xml:space="preserve">공통 조건: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같은 시행의 동일한 RGB 프레임을 사용하고 마지막 완료 장면을 포함. 과제 설명·채점 기준·관찰시간·VLM 설정은 공통으로 유지.</w:t>
      </w:r>
    </w:p>
    <w:tbl>
      <w:tblPr>
        <w:tblStyle w:val="ab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143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EDED"/>
          </w:tcPr>
          <w:p>
            <w:pPr>
              <w:keepNext/>
              <w:spacing w:line="252" w:lineRule="auto" w:after="20" w:before="0"/>
              <w:jc w:val="center"/>
            </w:pPr>
            <w:r>
              <w:rPr>
                <w:b/>
                <w:color w:val="000000"/>
                <w:sz w:val="20"/>
              </w:rPr>
              <w:t xml:space="preserve">조건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EDED"/>
          </w:tcPr>
          <w:p>
            <w:pPr>
              <w:keepNext/>
              <w:spacing w:line="252" w:lineRule="auto" w:after="20" w:before="0"/>
            </w:pPr>
            <w:r>
              <w:rPr>
                <w:b/>
                <w:color w:val="000000"/>
                <w:sz w:val="20"/>
              </w:rPr>
              <w:t xml:space="preserve">제공하거나 제외할 정보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keepLines/>
              <w:spacing w:line="264" w:lineRule="auto" w:after="40" w:before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00000"/>
                <w:sz w:val="21"/>
              </w:rPr>
              <w:t>A1 영상 기준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keepLines/>
              <w:spacing w:line="264" w:lineRule="auto" w:after="40" w:before="0"/>
            </w:pP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RGB 영상만 제공. 운동학 수치는 제외.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keepLines/>
              <w:spacing w:line="264" w:lineRule="auto" w:after="40" w:before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00000"/>
                <w:sz w:val="21"/>
              </w:rPr>
              <w:t>A2 전체 수치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keepLines/>
              <w:spacing w:line="264" w:lineRule="auto" w:after="40" w:before="0"/>
            </w:pP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RGB 영상 + MGA·TAM_total·SPARC의 산출값 전체.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keepLines/>
              <w:spacing w:line="264" w:lineRule="auto" w:after="40" w:before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00000"/>
                <w:sz w:val="21"/>
              </w:rPr>
              <w:t>A3 품질 선별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keepLines/>
              <w:spacing w:line="264" w:lineRule="auto" w:after="40" w:before="0"/>
            </w:pP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RGB 영상 + 자동 품질 선별 수치. 신뢰하기 어려운 값은 null로 표시.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keepLines/>
              <w:spacing w:line="264" w:lineRule="auto" w:after="40" w:before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00000"/>
                <w:sz w:val="21"/>
              </w:rPr>
              <w:t>R 무작위 제외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keepLines/>
              <w:spacing w:line="264" w:lineRule="auto" w:after="40" w:before="0"/>
            </w:pP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원래 값이 있는 전체 후보에서 A3와 같은 양을 지표별 무작위 제외.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keepLines/>
              <w:spacing w:line="264" w:lineRule="auto" w:after="40" w:before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00000"/>
                <w:sz w:val="21"/>
              </w:rPr>
              <w:t>A4 수치 기준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keepLines/>
              <w:spacing w:line="264" w:lineRule="auto" w:after="40" w:before="0"/>
            </w:pP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A3와 같은 수치·과제 설명·관찰시간 제공. RGB 영상은 제외.</w:t>
            </w:r>
          </w:p>
        </w:tc>
      </w:tr>
    </w:tbl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오류 주입: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각 지표의 단위·계산 특성에 맞춰 인위적인 오차를 적용. 잘못된 입력이 VLM 점수와 평가 근거를 어떻게 바꾸는지 확인.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보조 비교: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간단한 통계모형 및 수행시간만 이용하는 조건과 비교하여 VLM의 추가 가치를 참고 평가.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사용 모델: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주 모델은 Qwen2.5-VL-72B-Instruct로 계획. 장비에서의 실행 가능성을 확인한 뒤 설치·실행 설정을 확정.</w:t>
      </w:r>
    </w:p>
    <w:p>
      <w:pPr>
        <w:keepNext/>
        <w:widowControl/>
        <w:spacing w:after="80" w:before="140"/>
      </w:pPr>
      <w:r>
        <w:rPr>
          <w:rFonts w:ascii="Calibri" w:hAnsi="Calibri" w:eastAsia="맑은 고딕"/>
          <w:b/>
          <w:i w:val="0"/>
          <w:color w:val="000000"/>
          <w:sz w:val="23"/>
        </w:rPr>
        <w:t>(5) 예상 결과에 따른 해석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수치 추가가 도움: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A2의 채점 오차가 A1보다 작음 → 운동학 수치가 RGB 영상 평가를 보완할 가능성.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잘못된 수치가 방해: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A2의 오차가 증가하고 A3에서 감소 → 측정 오류 관리와 품질 선별의 필요성을 지지.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품질 선별의 고유 효과: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A3의 오차가 R보다 작으면 품질 선별의 효과를 지지. 비슷하면 정보량 감소로 설명될 가능성.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과잉 제외가 발생: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A3의 오차가 줄어도 수치 제외 비율이 높음 → 정확도와 활용 가능한 정보량의 균형을 함께 판단.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개선이 확인되지 않음: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조건 간 차이가 작거나 오차가 줄지 않음 → 이번 설정에서 수치 추가·품질 선별의 이득을 확인하지 못함.</w:t>
      </w:r>
    </w:p>
    <w:p>
      <w:pPr>
        <w:keepNext/>
        <w:spacing w:after="140" w:before="200"/>
        <w:widowControl/>
        <w:pBdr>
          <w:top w:val="single" w:sz="6" w:space="4" w:color="000000"/>
        </w:pBdr>
      </w:pPr>
      <w:r>
        <w:rPr>
          <w:rFonts w:ascii="Calibri" w:hAnsi="Calibri" w:eastAsia="맑은 고딕"/>
          <w:b/>
          <w:i w:val="0"/>
          <w:color w:val="000000"/>
          <w:sz w:val="24"/>
        </w:rPr>
        <w:t>Research Items in Next Biweek</w:t>
      </w:r>
    </w:p>
    <w:p>
      <w:pPr>
        <w:keepNext/>
        <w:widowControl/>
        <w:spacing w:after="80" w:before="140"/>
      </w:pPr>
      <w:r>
        <w:rPr>
          <w:rFonts w:ascii="Calibri" w:hAnsi="Calibri" w:eastAsia="맑은 고딕"/>
          <w:b/>
          <w:i w:val="0"/>
          <w:color w:val="000000"/>
          <w:sz w:val="23"/>
        </w:rPr>
        <w:t>다음 주 목표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직접 반복 수행: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팀원들이 블록 옮기기·구슬 집기를 몇 차례 더 반복. 정지–시작 신호–동작–정지 절차를 적용하고 촬영·가림·저장을 확인.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전체 과정 점검: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촬영 → 시행 구간 구분 → 세 지표 산출 → 입력 생성까지 확인. 시행 구간의 정확도와 빠른 수행의 과도한 수치 제외 여부를 점검.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RTX 5090 확인·설치: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장비의 메모리·실행환경과 계획한 VLM의 실행 가능성을 확인. 실행 가능한 설정으로 모델을 설치하고 시범 실행.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소요시간·출력 확인: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동일한 시범 자료에서 조건별 추론 소요시간, 출력 성공 여부, 채점 점수와 평가 근거를 기록.</w:t>
      </w:r>
    </w:p>
    <w:p>
      <w:pPr>
        <w:keepNext/>
        <w:pageBreakBefore w:val="0"/>
        <w:spacing w:after="140" w:before="200"/>
        <w:widowControl/>
        <w:pBdr>
          <w:top w:val="single" w:sz="6" w:space="4" w:color="000000"/>
        </w:pBdr>
      </w:pPr>
      <w:r>
        <w:rPr>
          <w:rFonts w:ascii="Calibri" w:hAnsi="Calibri" w:eastAsia="맑은 고딕"/>
          <w:b/>
          <w:i w:val="0"/>
          <w:color w:val="000000"/>
          <w:sz w:val="24"/>
        </w:rPr>
        <w:t>Issues and Overall Progress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이번 주 진행: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문헌 조사, 파일럿 재검토, 주 입력 지표·촬영 절차 확정 및 조건 생성·추론·분석 코드 정리를 진행.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현재 상태: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기존 기술 파일럿은 있으나, 새 ARAT 프로토콜의 전체 과정 검증과 본 실험은 아직 수행하지 않음. 다음 주 직접 촬영·모델 시범 실행으로 연결해 확인.</w:t>
      </w:r>
    </w:p>
    <w:p>
      <w:pPr>
        <w:keepNext/>
        <w:widowControl/>
        <w:spacing w:after="80" w:before="140"/>
      </w:pPr>
      <w:r>
        <w:rPr>
          <w:rFonts w:ascii="Calibri" w:hAnsi="Calibri" w:eastAsia="맑은 고딕"/>
          <w:b/>
          <w:i w:val="0"/>
          <w:color w:val="000000"/>
          <w:sz w:val="23"/>
        </w:rPr>
        <w:t>지도교수 면담 사항에 대한 답변</w:t>
      </w:r>
    </w:p>
    <w:p>
      <w:pPr>
        <w:keepNext/>
        <w:widowControl/>
        <w:spacing w:after="60" w:before="120"/>
      </w:pPr>
      <w:r>
        <w:rPr>
          <w:rFonts w:ascii="Calibri" w:hAnsi="Calibri" w:eastAsia="맑은 고딕"/>
          <w:b/>
          <w:i w:val="0"/>
          <w:color w:val="000000"/>
          <w:sz w:val="22"/>
        </w:rPr>
        <w:t>1) 기존 모델과 지표를 결합하면 무엇이 개선되는가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검증 방법: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RGB 영상만 제공할 때와 수치를 추가할 때의 오차를 비교. 자동 품질 선별과 무작위 제외를 비교하여 선별의 추가 효과도 확인.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개선 판단: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채점 오차와 수치 제외 비율을 함께 확인하여, 정확도 개선과 과잉 제외의 부담을 평가.</w:t>
      </w:r>
    </w:p>
    <w:p>
      <w:pPr>
        <w:keepNext/>
        <w:widowControl/>
        <w:spacing w:after="60" w:before="120"/>
      </w:pPr>
      <w:r>
        <w:rPr>
          <w:rFonts w:ascii="Calibri" w:hAnsi="Calibri" w:eastAsia="맑은 고딕"/>
          <w:b/>
          <w:i w:val="0"/>
          <w:color w:val="000000"/>
          <w:sz w:val="22"/>
        </w:rPr>
        <w:t>2) 왜 이 행동 과제들을 선정하였는가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선정 근거: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블록은 큰 물체의 파지·이동, 구슬은 엄지·검지의 정밀한 맞섬을 관찰. 표준 항목별 채점 기준이 있어 치료사 참조점수와 비교하기 쉬움.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해석 범위: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최대 벌림·총굴곡·매끄러움으로 파지와 움직임을 요약. 구슬 집기를 주 분석으로 사용하며 결과는 두 항목의 범위에서 해석.</w:t>
      </w:r>
    </w:p>
    <w:p>
      <w:pPr>
        <w:keepNext/>
        <w:widowControl/>
        <w:spacing w:after="60" w:before="120"/>
      </w:pPr>
      <w:r>
        <w:rPr>
          <w:rFonts w:ascii="Calibri" w:hAnsi="Calibri" w:eastAsia="맑은 고딕"/>
          <w:b/>
          <w:i w:val="0"/>
          <w:color w:val="000000"/>
          <w:sz w:val="22"/>
        </w:rPr>
        <w:t>3) FMA 기반 평가에서 저항과 힘은 어떻게 측정할 것인가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평가 범위: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저항·힘은 현재 영상·운동학 수치만으로 직접 정량화하기 어려워, 물체를 잡고 옮기는 ARAT 수행 평가로 범위를 정리.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추가 계측: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저항·힘을 정량화하려면 로드셀이나 힘 센서가 필요. 별도 계측을 포함하는 후속 실험으로 검토.</w:t>
      </w:r>
    </w:p>
    <w:p>
      <w:pPr>
        <w:keepNext/>
        <w:widowControl/>
        <w:spacing w:after="60" w:before="120"/>
      </w:pPr>
      <w:r>
        <w:rPr>
          <w:rFonts w:ascii="Calibri" w:hAnsi="Calibri" w:eastAsia="맑은 고딕"/>
          <w:b/>
          <w:i w:val="0"/>
          <w:color w:val="000000"/>
          <w:sz w:val="22"/>
        </w:rPr>
        <w:t>4) 개인별 특성 분석이나 군집화는 어떻게 활용할 것인가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활용 방향[9]: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개인별 파지 패턴과 반복 수행 차이를 먼저 확인. 군집화와 정상 참조모형은 충분한 자료를 확보한 뒤 후속 과제로 검토.</w:t>
      </w:r>
    </w:p>
    <w:p>
      <w:pPr>
        <w:keepNext w:val="0"/>
        <w:keepLines/>
        <w:widowControl/>
        <w:tabs>
          <w:tab w:pos="238" w:val="left"/>
        </w:tabs>
        <w:spacing w:after="80" w:before="0" w:line="264" w:lineRule="auto"/>
        <w:ind w:left="238" w:hanging="238"/>
      </w:pPr>
      <w:r>
        <w:rPr>
          <w:rFonts w:ascii="Calibri" w:hAnsi="Calibri" w:eastAsia="맑은 고딕"/>
          <w:b w:val="0"/>
          <w:i w:val="0"/>
          <w:color w:val="000000"/>
          <w:sz w:val="22"/>
        </w:rPr>
        <w:t>•</w:t>
        <w:tab/>
      </w:r>
      <w:r>
        <w:rPr>
          <w:rFonts w:ascii="Calibri" w:hAnsi="Calibri" w:eastAsia="맑은 고딕"/>
          <w:b/>
          <w:i w:val="0"/>
          <w:color w:val="000000"/>
          <w:sz w:val="22"/>
        </w:rPr>
        <w:t xml:space="preserve">분석 조건: </w:t>
      </w:r>
      <w:r>
        <w:rPr>
          <w:rFonts w:ascii="Calibri" w:hAnsi="Calibri" w:eastAsia="맑은 고딕"/>
          <w:b w:val="0"/>
          <w:i w:val="0"/>
          <w:color w:val="000000"/>
          <w:sz w:val="22"/>
        </w:rPr>
        <w:t>측정 오류나 손 크기만으로 군집이 나뉘지 않는지 확인. 충분한 비장애인 자료와 임상적 해석을 확보한 뒤 확장.</w:t>
      </w:r>
    </w:p>
    <w:p>
      <w:pPr>
        <w:keepNext/>
        <w:widowControl/>
        <w:spacing w:after="80" w:before="140"/>
      </w:pPr>
      <w:r>
        <w:rPr>
          <w:rFonts w:ascii="Calibri" w:hAnsi="Calibri" w:eastAsia="맑은 고딕"/>
          <w:b/>
          <w:i w:val="0"/>
          <w:color w:val="000000"/>
          <w:sz w:val="23"/>
        </w:rPr>
        <w:t>참고문헌</w:t>
      </w:r>
    </w:p>
    <w:p>
      <w:pPr>
        <w:keepNext w:val="0"/>
        <w:keepLines/>
        <w:widowControl/>
        <w:tabs>
          <w:tab w:pos="340" w:val="left"/>
        </w:tabs>
        <w:spacing w:after="100" w:before="0" w:line="259" w:lineRule="auto"/>
        <w:ind w:left="340" w:hanging="340"/>
      </w:pPr>
      <w:r>
        <w:rPr>
          <w:rFonts w:ascii="Calibri" w:hAnsi="Calibri" w:eastAsia="맑은 고딕"/>
          <w:b/>
          <w:i w:val="0"/>
          <w:color w:val="000000"/>
          <w:sz w:val="19"/>
        </w:rPr>
        <w:t>[1]</w:t>
        <w:tab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Yozbatiran, N., Der-Yeghiaian, L., &amp; Cramer, S. C. (2008). </w:t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A standardized approach to performing the Action Research Arm Test. </w:t>
      </w:r>
      <w:r>
        <w:rPr>
          <w:rFonts w:ascii="Calibri" w:hAnsi="Calibri" w:eastAsia="맑은 고딕"/>
          <w:b w:val="0"/>
          <w:i/>
          <w:color w:val="000000"/>
          <w:sz w:val="19"/>
        </w:rPr>
        <w:t>Neurorehabilitation and Neural Repair, 22(1), 78–90.</w:t>
      </w:r>
      <w:r>
        <w:br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DOI: </w:t>
      </w:r>
      <w:hyperlink r:id="rId11">
        <w:r>
          <w:rPr>
            <w:rFonts w:ascii="Calibri" w:hAnsi="Calibri" w:eastAsia="맑은 고딕"/>
            <w:sz w:val="19"/>
            <w:color w:val="000000"/>
          </w:rPr>
          <w:t>10.1177/1545968307305353</w:t>
        </w:r>
      </w:hyperlink>
    </w:p>
    <w:p>
      <w:pPr>
        <w:keepNext w:val="0"/>
        <w:keepLines/>
        <w:widowControl/>
        <w:tabs>
          <w:tab w:pos="340" w:val="left"/>
        </w:tabs>
        <w:spacing w:after="100" w:before="0" w:line="259" w:lineRule="auto"/>
        <w:ind w:left="340" w:hanging="340"/>
      </w:pPr>
      <w:r>
        <w:rPr>
          <w:rFonts w:ascii="Calibri" w:hAnsi="Calibri" w:eastAsia="맑은 고딕"/>
          <w:b/>
          <w:i w:val="0"/>
          <w:color w:val="000000"/>
          <w:sz w:val="19"/>
        </w:rPr>
        <w:t>[2]</w:t>
        <w:tab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Padilla-Magaña, J. F., &amp; Peña-Pitarch, E. (2022). </w:t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Classification models of Action Research Arm Test activities in post-stroke patients based on human hand motion. </w:t>
      </w:r>
      <w:r>
        <w:rPr>
          <w:rFonts w:ascii="Calibri" w:hAnsi="Calibri" w:eastAsia="맑은 고딕"/>
          <w:b w:val="0"/>
          <w:i/>
          <w:color w:val="000000"/>
          <w:sz w:val="19"/>
        </w:rPr>
        <w:t>Sensors, 22(23), 9078.</w:t>
      </w:r>
      <w:r>
        <w:br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DOI: </w:t>
      </w:r>
      <w:hyperlink r:id="rId12">
        <w:r>
          <w:rPr>
            <w:rFonts w:ascii="Calibri" w:hAnsi="Calibri" w:eastAsia="맑은 고딕"/>
            <w:sz w:val="19"/>
            <w:color w:val="000000"/>
          </w:rPr>
          <w:t>10.3390/s22239078</w:t>
        </w:r>
      </w:hyperlink>
    </w:p>
    <w:p>
      <w:pPr>
        <w:keepNext w:val="0"/>
        <w:keepLines/>
        <w:widowControl/>
        <w:tabs>
          <w:tab w:pos="340" w:val="left"/>
        </w:tabs>
        <w:spacing w:after="100" w:before="0" w:line="259" w:lineRule="auto"/>
        <w:ind w:left="340" w:hanging="340"/>
      </w:pPr>
      <w:r>
        <w:rPr>
          <w:rFonts w:ascii="Calibri" w:hAnsi="Calibri" w:eastAsia="맑은 고딕"/>
          <w:b/>
          <w:i w:val="0"/>
          <w:color w:val="000000"/>
          <w:sz w:val="19"/>
        </w:rPr>
        <w:t>[3]</w:t>
        <w:tab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Li, V., et al. (2026). </w:t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Vision-language models for human motion understanding: Lessons from stroke rehabilitation. </w:t>
      </w:r>
      <w:r>
        <w:rPr>
          <w:rFonts w:ascii="Calibri" w:hAnsi="Calibri" w:eastAsia="맑은 고딕"/>
          <w:b w:val="0"/>
          <w:i/>
          <w:color w:val="000000"/>
          <w:sz w:val="19"/>
        </w:rPr>
        <w:t>PLOS Digital Health, 5(7), e0001506.</w:t>
      </w:r>
      <w:r>
        <w:br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DOI: </w:t>
      </w:r>
      <w:hyperlink r:id="rId13">
        <w:r>
          <w:rPr>
            <w:rFonts w:ascii="Calibri" w:hAnsi="Calibri" w:eastAsia="맑은 고딕"/>
            <w:sz w:val="19"/>
            <w:color w:val="000000"/>
          </w:rPr>
          <w:t>10.1371/journal.pdig.0001506</w:t>
        </w:r>
      </w:hyperlink>
    </w:p>
    <w:p>
      <w:pPr>
        <w:keepNext w:val="0"/>
        <w:keepLines/>
        <w:widowControl/>
        <w:tabs>
          <w:tab w:pos="340" w:val="left"/>
        </w:tabs>
        <w:spacing w:after="100" w:before="0" w:line="259" w:lineRule="auto"/>
        <w:ind w:left="340" w:hanging="340"/>
      </w:pPr>
      <w:r>
        <w:rPr>
          <w:rFonts w:ascii="Calibri" w:hAnsi="Calibri" w:eastAsia="맑은 고딕"/>
          <w:b/>
          <w:i w:val="0"/>
          <w:color w:val="000000"/>
          <w:sz w:val="19"/>
        </w:rPr>
        <w:t>[4]</w:t>
        <w:tab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van Vliet, P. M., &amp; Sheridan, M. R. (2007). </w:t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Coordination between reaching and grasping in patients with hemiparesis and healthy subjects. </w:t>
      </w:r>
      <w:r>
        <w:rPr>
          <w:rFonts w:ascii="Calibri" w:hAnsi="Calibri" w:eastAsia="맑은 고딕"/>
          <w:b w:val="0"/>
          <w:i/>
          <w:color w:val="000000"/>
          <w:sz w:val="19"/>
        </w:rPr>
        <w:t>Archives of Physical Medicine and Rehabilitation, 88(10), 1325–1331.</w:t>
      </w:r>
      <w:r>
        <w:br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DOI: </w:t>
      </w:r>
      <w:hyperlink r:id="rId14">
        <w:r>
          <w:rPr>
            <w:rFonts w:ascii="Calibri" w:hAnsi="Calibri" w:eastAsia="맑은 고딕"/>
            <w:sz w:val="19"/>
            <w:color w:val="000000"/>
          </w:rPr>
          <w:t>10.1016/j.apmr.2007.06.769</w:t>
        </w:r>
      </w:hyperlink>
    </w:p>
    <w:p>
      <w:pPr>
        <w:keepNext w:val="0"/>
        <w:keepLines/>
        <w:widowControl/>
        <w:tabs>
          <w:tab w:pos="340" w:val="left"/>
        </w:tabs>
        <w:spacing w:after="100" w:before="0" w:line="259" w:lineRule="auto"/>
        <w:ind w:left="340" w:hanging="340"/>
      </w:pPr>
      <w:r>
        <w:rPr>
          <w:rFonts w:ascii="Calibri" w:hAnsi="Calibri" w:eastAsia="맑은 고딕"/>
          <w:b/>
          <w:i w:val="0"/>
          <w:color w:val="000000"/>
          <w:sz w:val="19"/>
        </w:rPr>
        <w:t>[5]</w:t>
        <w:tab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Balasubramanian, S., et al. (2015). </w:t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On the analysis of movement smoothness. </w:t>
      </w:r>
      <w:r>
        <w:rPr>
          <w:rFonts w:ascii="Calibri" w:hAnsi="Calibri" w:eastAsia="맑은 고딕"/>
          <w:b w:val="0"/>
          <w:i/>
          <w:color w:val="000000"/>
          <w:sz w:val="19"/>
        </w:rPr>
        <w:t>Journal of NeuroEngineering and Rehabilitation, 12, 112.</w:t>
      </w:r>
      <w:r>
        <w:br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DOI: </w:t>
      </w:r>
      <w:hyperlink r:id="rId15">
        <w:r>
          <w:rPr>
            <w:rFonts w:ascii="Calibri" w:hAnsi="Calibri" w:eastAsia="맑은 고딕"/>
            <w:sz w:val="19"/>
            <w:color w:val="000000"/>
          </w:rPr>
          <w:t>10.1186/s12984-015-0090-9</w:t>
        </w:r>
      </w:hyperlink>
    </w:p>
    <w:p>
      <w:pPr>
        <w:keepNext w:val="0"/>
        <w:keepLines/>
        <w:widowControl/>
        <w:tabs>
          <w:tab w:pos="340" w:val="left"/>
        </w:tabs>
        <w:spacing w:after="100" w:before="0" w:line="259" w:lineRule="auto"/>
        <w:ind w:left="340" w:hanging="340"/>
      </w:pPr>
      <w:r>
        <w:rPr>
          <w:rFonts w:ascii="Calibri" w:hAnsi="Calibri" w:eastAsia="맑은 고딕"/>
          <w:b/>
          <w:i w:val="0"/>
          <w:color w:val="000000"/>
          <w:sz w:val="19"/>
        </w:rPr>
        <w:t>[6]</w:t>
        <w:tab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Cornec, G., et al. (2024). </w:t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Measurement properties of movement smoothness metrics for upper limb reaching movements in people with moderate to severe subacute stroke. </w:t>
      </w:r>
      <w:r>
        <w:rPr>
          <w:rFonts w:ascii="Calibri" w:hAnsi="Calibri" w:eastAsia="맑은 고딕"/>
          <w:b w:val="0"/>
          <w:i/>
          <w:color w:val="000000"/>
          <w:sz w:val="19"/>
        </w:rPr>
        <w:t>Journal of NeuroEngineering and Rehabilitation, 21, 90.</w:t>
      </w:r>
      <w:r>
        <w:br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DOI: </w:t>
      </w:r>
      <w:hyperlink r:id="rId16">
        <w:r>
          <w:rPr>
            <w:rFonts w:ascii="Calibri" w:hAnsi="Calibri" w:eastAsia="맑은 고딕"/>
            <w:sz w:val="19"/>
            <w:color w:val="000000"/>
          </w:rPr>
          <w:t>10.1186/s12984-024-01382-1</w:t>
        </w:r>
      </w:hyperlink>
    </w:p>
    <w:p>
      <w:pPr>
        <w:keepNext w:val="0"/>
        <w:keepLines/>
        <w:widowControl/>
        <w:tabs>
          <w:tab w:pos="340" w:val="left"/>
        </w:tabs>
        <w:spacing w:after="100" w:before="0" w:line="259" w:lineRule="auto"/>
        <w:ind w:left="340" w:hanging="340"/>
      </w:pPr>
      <w:r>
        <w:rPr>
          <w:rFonts w:ascii="Calibri" w:hAnsi="Calibri" w:eastAsia="맑은 고딕"/>
          <w:b/>
          <w:i w:val="0"/>
          <w:color w:val="000000"/>
          <w:sz w:val="19"/>
        </w:rPr>
        <w:t>[7]</w:t>
        <w:tab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Wagner, J. M., Rhodes, J. A., &amp; Patten, C. (2008). </w:t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Reproducibility and minimal detectable change of three-dimensional kinematic analysis of reaching tasks in people with hemiparesis after stroke. </w:t>
      </w:r>
      <w:r>
        <w:rPr>
          <w:rFonts w:ascii="Calibri" w:hAnsi="Calibri" w:eastAsia="맑은 고딕"/>
          <w:b w:val="0"/>
          <w:i/>
          <w:color w:val="000000"/>
          <w:sz w:val="19"/>
        </w:rPr>
        <w:t>Physical Therapy, 88(5), 652–663.</w:t>
      </w:r>
      <w:r>
        <w:br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DOI: </w:t>
      </w:r>
      <w:hyperlink r:id="rId17">
        <w:r>
          <w:rPr>
            <w:rFonts w:ascii="Calibri" w:hAnsi="Calibri" w:eastAsia="맑은 고딕"/>
            <w:sz w:val="19"/>
            <w:color w:val="000000"/>
          </w:rPr>
          <w:t>10.2522/ptj.20070255</w:t>
        </w:r>
      </w:hyperlink>
    </w:p>
    <w:p>
      <w:pPr>
        <w:keepNext w:val="0"/>
        <w:keepLines/>
        <w:widowControl/>
        <w:tabs>
          <w:tab w:pos="340" w:val="left"/>
        </w:tabs>
        <w:spacing w:after="100" w:before="0" w:line="259" w:lineRule="auto"/>
        <w:ind w:left="340" w:hanging="340"/>
      </w:pPr>
      <w:r>
        <w:rPr>
          <w:rFonts w:ascii="Calibri" w:hAnsi="Calibri" w:eastAsia="맑은 고딕"/>
          <w:b/>
          <w:i w:val="0"/>
          <w:color w:val="000000"/>
          <w:sz w:val="19"/>
        </w:rPr>
        <w:t>[8]</w:t>
        <w:tab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Faity, G., Mottet, D., &amp; Froger, J. (2022). </w:t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Validity and reliability of Kinect v2 for quantifying upper body kinematics during seated reaching. </w:t>
      </w:r>
      <w:r>
        <w:rPr>
          <w:rFonts w:ascii="Calibri" w:hAnsi="Calibri" w:eastAsia="맑은 고딕"/>
          <w:b w:val="0"/>
          <w:i/>
          <w:color w:val="000000"/>
          <w:sz w:val="19"/>
        </w:rPr>
        <w:t>Sensors, 22(7), 2735.</w:t>
      </w:r>
      <w:r>
        <w:br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DOI: </w:t>
      </w:r>
      <w:hyperlink r:id="rId18">
        <w:r>
          <w:rPr>
            <w:rFonts w:ascii="Calibri" w:hAnsi="Calibri" w:eastAsia="맑은 고딕"/>
            <w:sz w:val="19"/>
            <w:color w:val="000000"/>
          </w:rPr>
          <w:t>10.3390/s22072735</w:t>
        </w:r>
      </w:hyperlink>
    </w:p>
    <w:p>
      <w:pPr>
        <w:keepNext w:val="0"/>
        <w:keepLines/>
        <w:widowControl/>
        <w:tabs>
          <w:tab w:pos="340" w:val="left"/>
        </w:tabs>
        <w:spacing w:after="100" w:before="0" w:line="259" w:lineRule="auto"/>
        <w:ind w:left="340" w:hanging="340"/>
      </w:pPr>
      <w:r>
        <w:rPr>
          <w:rFonts w:ascii="Calibri" w:hAnsi="Calibri" w:eastAsia="맑은 고딕"/>
          <w:b/>
          <w:i w:val="0"/>
          <w:color w:val="000000"/>
          <w:sz w:val="19"/>
        </w:rPr>
        <w:t>[9]</w:t>
        <w:tab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Jarque-Bou, N. J., et al. (2019). </w:t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Kinematic synergies of hand grasps: A comprehensive study on a large publicly available dataset. </w:t>
      </w:r>
      <w:r>
        <w:rPr>
          <w:rFonts w:ascii="Calibri" w:hAnsi="Calibri" w:eastAsia="맑은 고딕"/>
          <w:b w:val="0"/>
          <w:i/>
          <w:color w:val="000000"/>
          <w:sz w:val="19"/>
        </w:rPr>
        <w:t>Journal of NeuroEngineering and Rehabilitation, 16, 63.</w:t>
      </w:r>
      <w:r>
        <w:br/>
      </w:r>
      <w:r>
        <w:rPr>
          <w:rFonts w:ascii="Calibri" w:hAnsi="Calibri" w:eastAsia="맑은 고딕"/>
          <w:b w:val="0"/>
          <w:i w:val="0"/>
          <w:color w:val="000000"/>
          <w:sz w:val="19"/>
        </w:rPr>
        <w:t xml:space="preserve">DOI: </w:t>
      </w:r>
      <w:hyperlink r:id="rId19">
        <w:r>
          <w:rPr>
            <w:rFonts w:ascii="Calibri" w:hAnsi="Calibri" w:eastAsia="맑은 고딕"/>
            <w:sz w:val="19"/>
            <w:color w:val="000000"/>
          </w:rPr>
          <w:t>10.1186/s12984-019-0536-6</w:t>
        </w:r>
      </w:hyperlink>
    </w:p>
    <w:sectPr w:rsidR="0041334D" w:rsidRPr="00EB4E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5311" w14:textId="77777777" w:rsidR="00EF0F05" w:rsidRDefault="00EF0F05" w:rsidP="00EC111C">
      <w:r>
        <w:separator/>
      </w:r>
    </w:p>
  </w:endnote>
  <w:endnote w:type="continuationSeparator" w:id="0">
    <w:p w14:paraId="5C9364D8" w14:textId="77777777" w:rsidR="00EF0F05" w:rsidRDefault="00EF0F05" w:rsidP="00EC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72335" w14:textId="77777777" w:rsidR="00EF0F05" w:rsidRDefault="00EF0F05" w:rsidP="00EC111C">
      <w:r>
        <w:separator/>
      </w:r>
    </w:p>
  </w:footnote>
  <w:footnote w:type="continuationSeparator" w:id="0">
    <w:p w14:paraId="550CB1E5" w14:textId="77777777" w:rsidR="00EF0F05" w:rsidRDefault="00EF0F05" w:rsidP="00EC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36C04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8F65FE"/>
    <w:multiLevelType w:val="hybridMultilevel"/>
    <w:tmpl w:val="DD34B74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2" w15:restartNumberingAfterBreak="0">
    <w:nsid w:val="2D943775"/>
    <w:multiLevelType w:val="hybridMultilevel"/>
    <w:tmpl w:val="13FC0582"/>
    <w:lvl w:ilvl="0" w:tplc="AD7A95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9C84629"/>
    <w:multiLevelType w:val="hybridMultilevel"/>
    <w:tmpl w:val="B9708FF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9341283">
    <w:abstractNumId w:val="2"/>
  </w:num>
  <w:num w:numId="2" w16cid:durableId="1907647080">
    <w:abstractNumId w:val="1"/>
  </w:num>
  <w:num w:numId="3" w16cid:durableId="2140300566">
    <w:abstractNumId w:val="3"/>
  </w:num>
  <w:num w:numId="4" w16cid:durableId="96457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0AE"/>
    <w:rsid w:val="00015453"/>
    <w:rsid w:val="000215DA"/>
    <w:rsid w:val="00026066"/>
    <w:rsid w:val="000278B6"/>
    <w:rsid w:val="00037C43"/>
    <w:rsid w:val="0004667D"/>
    <w:rsid w:val="00071615"/>
    <w:rsid w:val="00075467"/>
    <w:rsid w:val="00082D9B"/>
    <w:rsid w:val="00090A67"/>
    <w:rsid w:val="000A01D1"/>
    <w:rsid w:val="000C0BC7"/>
    <w:rsid w:val="000F138E"/>
    <w:rsid w:val="000F6C2E"/>
    <w:rsid w:val="00101A71"/>
    <w:rsid w:val="00120C4E"/>
    <w:rsid w:val="00123431"/>
    <w:rsid w:val="00126E6F"/>
    <w:rsid w:val="0015176E"/>
    <w:rsid w:val="00167F38"/>
    <w:rsid w:val="00176E17"/>
    <w:rsid w:val="00183164"/>
    <w:rsid w:val="00196063"/>
    <w:rsid w:val="001B049D"/>
    <w:rsid w:val="001D4795"/>
    <w:rsid w:val="002506D2"/>
    <w:rsid w:val="00281CC4"/>
    <w:rsid w:val="00296C9A"/>
    <w:rsid w:val="002A72B0"/>
    <w:rsid w:val="002C0485"/>
    <w:rsid w:val="002C77BA"/>
    <w:rsid w:val="002E0EB9"/>
    <w:rsid w:val="002F5A1C"/>
    <w:rsid w:val="00310B08"/>
    <w:rsid w:val="003218EF"/>
    <w:rsid w:val="00321DFA"/>
    <w:rsid w:val="00327942"/>
    <w:rsid w:val="003B2959"/>
    <w:rsid w:val="00411BC5"/>
    <w:rsid w:val="0041334D"/>
    <w:rsid w:val="00414D46"/>
    <w:rsid w:val="00425AE6"/>
    <w:rsid w:val="00430CD7"/>
    <w:rsid w:val="004555E2"/>
    <w:rsid w:val="004A069E"/>
    <w:rsid w:val="004A263E"/>
    <w:rsid w:val="004C0DE0"/>
    <w:rsid w:val="004C4E72"/>
    <w:rsid w:val="00513998"/>
    <w:rsid w:val="00516BDF"/>
    <w:rsid w:val="00516D21"/>
    <w:rsid w:val="00522248"/>
    <w:rsid w:val="005475ED"/>
    <w:rsid w:val="005572A1"/>
    <w:rsid w:val="00570B52"/>
    <w:rsid w:val="005713DB"/>
    <w:rsid w:val="005719D4"/>
    <w:rsid w:val="00595029"/>
    <w:rsid w:val="005D353A"/>
    <w:rsid w:val="005E1BF7"/>
    <w:rsid w:val="00600D75"/>
    <w:rsid w:val="0063264D"/>
    <w:rsid w:val="006B19E5"/>
    <w:rsid w:val="006B408A"/>
    <w:rsid w:val="006C6721"/>
    <w:rsid w:val="00761807"/>
    <w:rsid w:val="0077601D"/>
    <w:rsid w:val="007865A0"/>
    <w:rsid w:val="007A2B11"/>
    <w:rsid w:val="007E6D1C"/>
    <w:rsid w:val="007F2A09"/>
    <w:rsid w:val="00805BDB"/>
    <w:rsid w:val="00811177"/>
    <w:rsid w:val="0084475A"/>
    <w:rsid w:val="008450F7"/>
    <w:rsid w:val="00850B38"/>
    <w:rsid w:val="00865D57"/>
    <w:rsid w:val="00874A92"/>
    <w:rsid w:val="008A4B91"/>
    <w:rsid w:val="008B3E02"/>
    <w:rsid w:val="008C06D3"/>
    <w:rsid w:val="008D2918"/>
    <w:rsid w:val="009042A4"/>
    <w:rsid w:val="00926E9A"/>
    <w:rsid w:val="00943E09"/>
    <w:rsid w:val="00951C88"/>
    <w:rsid w:val="00955B12"/>
    <w:rsid w:val="009A7A02"/>
    <w:rsid w:val="009D43D4"/>
    <w:rsid w:val="009D51B6"/>
    <w:rsid w:val="009F716E"/>
    <w:rsid w:val="00A0209A"/>
    <w:rsid w:val="00A145AE"/>
    <w:rsid w:val="00A26853"/>
    <w:rsid w:val="00A8783B"/>
    <w:rsid w:val="00A979AD"/>
    <w:rsid w:val="00AA1EF2"/>
    <w:rsid w:val="00AA2760"/>
    <w:rsid w:val="00AA527B"/>
    <w:rsid w:val="00AA55E7"/>
    <w:rsid w:val="00AC45A3"/>
    <w:rsid w:val="00AD04C8"/>
    <w:rsid w:val="00AD2EA0"/>
    <w:rsid w:val="00AD6889"/>
    <w:rsid w:val="00AE3D27"/>
    <w:rsid w:val="00B1033A"/>
    <w:rsid w:val="00B52D31"/>
    <w:rsid w:val="00B538B2"/>
    <w:rsid w:val="00B60D7B"/>
    <w:rsid w:val="00B61AFD"/>
    <w:rsid w:val="00B75790"/>
    <w:rsid w:val="00B9753D"/>
    <w:rsid w:val="00BA0359"/>
    <w:rsid w:val="00BB2E7A"/>
    <w:rsid w:val="00BC0D7B"/>
    <w:rsid w:val="00BE00AE"/>
    <w:rsid w:val="00C013EB"/>
    <w:rsid w:val="00C03475"/>
    <w:rsid w:val="00C20265"/>
    <w:rsid w:val="00C2244A"/>
    <w:rsid w:val="00C63F06"/>
    <w:rsid w:val="00C86AA7"/>
    <w:rsid w:val="00C91423"/>
    <w:rsid w:val="00C92DFD"/>
    <w:rsid w:val="00CA627A"/>
    <w:rsid w:val="00CC6354"/>
    <w:rsid w:val="00CD0999"/>
    <w:rsid w:val="00D0274E"/>
    <w:rsid w:val="00D33753"/>
    <w:rsid w:val="00D4629E"/>
    <w:rsid w:val="00D627E4"/>
    <w:rsid w:val="00D701F6"/>
    <w:rsid w:val="00D75AE0"/>
    <w:rsid w:val="00D76588"/>
    <w:rsid w:val="00DB1AB9"/>
    <w:rsid w:val="00DF5D71"/>
    <w:rsid w:val="00E0639F"/>
    <w:rsid w:val="00E3786F"/>
    <w:rsid w:val="00EB3C2D"/>
    <w:rsid w:val="00EB4E29"/>
    <w:rsid w:val="00EB5E6C"/>
    <w:rsid w:val="00EC0DC7"/>
    <w:rsid w:val="00EC111C"/>
    <w:rsid w:val="00EC5422"/>
    <w:rsid w:val="00EC6099"/>
    <w:rsid w:val="00EE28C6"/>
    <w:rsid w:val="00EF0F05"/>
    <w:rsid w:val="00F02DDB"/>
    <w:rsid w:val="00F05E88"/>
    <w:rsid w:val="00F247C5"/>
    <w:rsid w:val="00F7457B"/>
    <w:rsid w:val="00F955DC"/>
    <w:rsid w:val="00FC2CD7"/>
    <w:rsid w:val="00FF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25F23"/>
  <w15:chartTrackingRefBased/>
  <w15:docId w15:val="{3854D4B5-6D95-4634-9FB4-B3DEB7AE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753D"/>
    <w:pPr>
      <w:keepNext w:val="0"/>
      <w:widowControl/>
      <w:wordWrap w:val="0"/>
      <w:autoSpaceDE w:val="0"/>
      <w:autoSpaceDN w:val="0"/>
      <w:spacing w:after="80" w:line="264" w:lineRule="auto" w:before="0"/>
    </w:pPr>
    <w:rPr>
      <w:rFonts w:ascii="Calibri" w:hAnsi="Calibri" w:eastAsia="맑은 고딕"/>
      <w:color w:val="000000"/>
      <w:sz w:val="22"/>
    </w:rPr>
  </w:style>
  <w:style w:type="paragraph" w:styleId="1">
    <w:name w:val="heading 1"/>
    <w:basedOn w:val="a0"/>
    <w:next w:val="a0"/>
    <w:link w:val="1Char"/>
    <w:uiPriority w:val="9"/>
    <w:qFormat/>
    <w:rsid w:val="00BE00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eastAsia="맑은 고딕"/>
      <w:color w:val="000000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BE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eastAsia="맑은 고딕"/>
      <w:color w:val="000000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BE0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BE00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BE00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BE00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BE00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BE00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BE00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00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BE00AE"/>
    <w:pPr>
      <w:spacing w:after="80"/>
      <w:contextualSpacing/>
      <w:jc w:val="center"/>
    </w:pPr>
    <w:rPr>
      <w:rFonts w:asciiTheme="majorHAnsi" w:eastAsiaTheme="majorEastAsia" w:hAnsiTheme="majorHAnsi" w:cstheme="majorBidi" w:eastAsia="맑은 고딕"/>
      <w:color w:val="000000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BE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BE0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E0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BE0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E00AE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BE00A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E00AE"/>
    <w:rPr>
      <w:i/>
      <w:iCs/>
      <w:color w:val="365F9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BE00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E00AE"/>
    <w:rPr>
      <w:i/>
      <w:iCs/>
      <w:color w:val="365F91" w:themeColor="accent1" w:themeShade="BF"/>
    </w:rPr>
  </w:style>
  <w:style w:type="character" w:styleId="aa">
    <w:name w:val="Intense Reference"/>
    <w:basedOn w:val="a1"/>
    <w:uiPriority w:val="32"/>
    <w:qFormat/>
    <w:rsid w:val="00BE00AE"/>
    <w:rPr>
      <w:b/>
      <w:bCs/>
      <w:smallCaps/>
      <w:color w:val="365F91" w:themeColor="accent1" w:themeShade="BF"/>
      <w:spacing w:val="5"/>
    </w:rPr>
  </w:style>
  <w:style w:type="table" w:styleId="ab">
    <w:name w:val="Table Grid"/>
    <w:basedOn w:val="a2"/>
    <w:uiPriority w:val="59"/>
    <w:rsid w:val="00BE00AE"/>
    <w:pPr>
      <w:spacing w:after="0" w:line="240" w:lineRule="auto"/>
      <w:jc w:val="left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header"/>
    <w:basedOn w:val="a0"/>
    <w:link w:val="Char3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c"/>
    <w:uiPriority w:val="99"/>
    <w:rsid w:val="00EC111C"/>
  </w:style>
  <w:style w:type="paragraph" w:styleId="ad">
    <w:name w:val="footer"/>
    <w:basedOn w:val="a0"/>
    <w:link w:val="Char4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d"/>
    <w:uiPriority w:val="99"/>
    <w:rsid w:val="00EC111C"/>
  </w:style>
  <w:style w:type="paragraph" w:styleId="ae">
    <w:name w:val="caption"/>
    <w:basedOn w:val="a0"/>
    <w:next w:val="a0"/>
    <w:uiPriority w:val="35"/>
    <w:unhideWhenUsed/>
    <w:qFormat/>
    <w:rsid w:val="00DF5D71"/>
    <w:rPr>
      <w:b/>
      <w:bCs/>
      <w:szCs w:val="20"/>
    </w:rPr>
  </w:style>
  <w:style w:type="character" w:styleId="af">
    <w:name w:val="Strong"/>
    <w:basedOn w:val="a1"/>
    <w:uiPriority w:val="22"/>
    <w:qFormat/>
    <w:rsid w:val="00425AE6"/>
    <w:rPr>
      <w:b/>
      <w:bCs/>
    </w:rPr>
  </w:style>
  <w:style w:type="character" w:styleId="af0">
    <w:name w:val="Emphasis"/>
    <w:basedOn w:val="a1"/>
    <w:uiPriority w:val="20"/>
    <w:qFormat/>
    <w:rsid w:val="00425AE6"/>
    <w:rPr>
      <w:i/>
      <w:iCs/>
    </w:rPr>
  </w:style>
  <w:style w:type="paragraph" w:styleId="af1">
    <w:name w:val="Normal (Web)"/>
    <w:basedOn w:val="a0"/>
    <w:uiPriority w:val="99"/>
    <w:semiHidden/>
    <w:unhideWhenUsed/>
    <w:rsid w:val="00570B5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">
    <w:name w:val="List Bullet"/>
    <w:basedOn w:val="a0"/>
    <w:uiPriority w:val="99"/>
    <w:unhideWhenUsed/>
    <w:rsid w:val="004A263E"/>
    <w:pPr>
      <w:widowControl/>
      <w:numPr>
        <w:numId w:val="4"/>
      </w:numPr>
      <w:tabs>
        <w:tab w:val="clear" w:pos="360"/>
      </w:tabs>
      <w:wordWrap/>
      <w:autoSpaceDE/>
      <w:autoSpaceDN/>
      <w:spacing w:after="120" w:line="300" w:lineRule="auto"/>
      <w:ind w:left="0" w:firstLine="0"/>
      <w:contextualSpacing/>
      <w:jc w:val="left"/>
    </w:pPr>
    <w:rPr>
      <w:rFonts w:ascii="굴림" w:eastAsia="굴림" w:hAnsi="굴림"/>
      <w:kern w:val="0"/>
      <w:sz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doi.org/10.1177/1545968307305353" TargetMode="External"/><Relationship Id="rId12" Type="http://schemas.openxmlformats.org/officeDocument/2006/relationships/hyperlink" Target="https://doi.org/10.3390/s22239078" TargetMode="External"/><Relationship Id="rId13" Type="http://schemas.openxmlformats.org/officeDocument/2006/relationships/hyperlink" Target="https://doi.org/10.1371/journal.pdig.0001506" TargetMode="External"/><Relationship Id="rId14" Type="http://schemas.openxmlformats.org/officeDocument/2006/relationships/hyperlink" Target="https://doi.org/10.1016/j.apmr.2007.06.769" TargetMode="External"/><Relationship Id="rId15" Type="http://schemas.openxmlformats.org/officeDocument/2006/relationships/hyperlink" Target="https://doi.org/10.1186/s12984-015-0090-9" TargetMode="External"/><Relationship Id="rId16" Type="http://schemas.openxmlformats.org/officeDocument/2006/relationships/hyperlink" Target="https://doi.org/10.1186/s12984-024-01382-1" TargetMode="External"/><Relationship Id="rId17" Type="http://schemas.openxmlformats.org/officeDocument/2006/relationships/hyperlink" Target="https://doi.org/10.2522/ptj.20070255" TargetMode="External"/><Relationship Id="rId18" Type="http://schemas.openxmlformats.org/officeDocument/2006/relationships/hyperlink" Target="https://doi.org/10.3390/s22072735" TargetMode="External"/><Relationship Id="rId19" Type="http://schemas.openxmlformats.org/officeDocument/2006/relationships/hyperlink" Target="https://doi.org/10.1186/s12984-019-0536-6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6BCED-A314-4CB7-893C-580B89CF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Biweekly Research Progress Report</dc:title>
  <dc:subject>ARAT 과제 전환과 VLM 입력 비교 실험 계획</dc:subject>
  <dc:creator>이재용</dc:creator>
  <cp:keywords/>
  <dc:description/>
  <cp:lastModifiedBy>jeayong lee</cp:lastModifiedBy>
  <cp:revision>126</cp:revision>
  <dcterms:created xsi:type="dcterms:W3CDTF">2026-09-14T05:18:00Z</dcterms:created>
  <dcterms:modified xsi:type="dcterms:W3CDTF">2026-09-30T01:17:00Z</dcterms:modified>
</cp:coreProperties>
</file>