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2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Разместить фотографию владельца сайта.</w:t>
      </w:r>
      <w:r>
        <w:t xml:space="preserve"> </w:t>
      </w:r>
      <w:r>
        <w:t xml:space="preserve">Разместить краткое описание владельца сайта (Biography).</w:t>
      </w:r>
      <w:r>
        <w:t xml:space="preserve"> </w:t>
      </w:r>
      <w:r>
        <w:t xml:space="preserve">Добавить информацию об интересах (Interests).</w:t>
      </w:r>
      <w:r>
        <w:t xml:space="preserve"> </w:t>
      </w:r>
      <w:r>
        <w:t xml:space="preserve">Добавить информацию от образовании (Education).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Управление версиями. Git.</w:t>
      </w:r>
      <w:r>
        <w:t xml:space="preserve"> </w:t>
      </w:r>
      <w:r>
        <w:t xml:space="preserve">Непрерывная интеграция и непрерывное развертывание (CI/CD).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 помощью редактирования файла avatar.jpg, находящимся в директории ~/work/study/blog/content/authors/admin меняю фото на свое; редактируя файл index в той же директории меняю краткое описание владельца сайта</w:t>
      </w:r>
    </w:p>
    <w:p>
      <w:pPr>
        <w:pStyle w:val="CaptionedFigure"/>
      </w:pPr>
      <w:r>
        <w:drawing>
          <wp:inline>
            <wp:extent cx="4800600" cy="3310758"/>
            <wp:effectExtent b="0" l="0" r="0" t="0"/>
            <wp:docPr descr="замена фото и краткого описания" title="fig: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10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фото и краткого описания</w:t>
      </w:r>
    </w:p>
    <w:p>
      <w:pPr>
        <w:numPr>
          <w:ilvl w:val="0"/>
          <w:numId w:val="1002"/>
        </w:numPr>
        <w:pStyle w:val="Compact"/>
      </w:pPr>
      <w:r>
        <w:t xml:space="preserve">Редактируя тот же файл index добавляю информацию об интересах и образовании</w:t>
      </w:r>
    </w:p>
    <w:p>
      <w:pPr>
        <w:pStyle w:val="CaptionedFigure"/>
      </w:pPr>
      <w:r>
        <w:drawing>
          <wp:inline>
            <wp:extent cx="4800600" cy="1932038"/>
            <wp:effectExtent b="0" l="0" r="0" t="0"/>
            <wp:docPr descr="добавляю информацию об интересах и образовании" title="fig: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32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добавляю информацию об интересах и образовании</w:t>
      </w:r>
    </w:p>
    <w:p>
      <w:pPr>
        <w:numPr>
          <w:ilvl w:val="0"/>
          <w:numId w:val="1003"/>
        </w:numPr>
        <w:pStyle w:val="Compact"/>
      </w:pPr>
      <w:r>
        <w:t xml:space="preserve">Редактируя файл index в директории ~/work/study/blog/content/post/getting-started создаю пост о своей прошедшей неделе</w:t>
      </w:r>
    </w:p>
    <w:p>
      <w:pPr>
        <w:pStyle w:val="CaptionedFigure"/>
      </w:pPr>
      <w:r>
        <w:drawing>
          <wp:inline>
            <wp:extent cx="4800600" cy="6093069"/>
            <wp:effectExtent b="0" l="0" r="0" t="0"/>
            <wp:docPr descr="пост о прошедшей неделе" title="fig: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093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 прошедшей неделе</w:t>
      </w:r>
    </w:p>
    <w:p>
      <w:pPr>
        <w:numPr>
          <w:ilvl w:val="0"/>
          <w:numId w:val="1004"/>
        </w:numPr>
        <w:pStyle w:val="Compact"/>
      </w:pPr>
      <w:r>
        <w:t xml:space="preserve">Редактируя файл index в директории ~/work/study/blog/content/post/writing technical content создаю пост об управлении версиями Git.</w:t>
      </w:r>
    </w:p>
    <w:p>
      <w:pPr>
        <w:pStyle w:val="CaptionedFigure"/>
      </w:pPr>
      <w:r>
        <w:drawing>
          <wp:inline>
            <wp:extent cx="4800600" cy="6093069"/>
            <wp:effectExtent b="0" l="0" r="0" t="0"/>
            <wp:docPr descr="пост об управлении версиямии Git" title="fig: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093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об управлении версиямии Git</w:t>
      </w:r>
    </w:p>
    <w:p>
      <w:pPr>
        <w:pStyle w:val="CaptionedFigure"/>
      </w:pPr>
      <w:r>
        <w:drawing>
          <wp:inline>
            <wp:extent cx="4800600" cy="6093069"/>
            <wp:effectExtent b="0" l="0" r="0" t="0"/>
            <wp:docPr descr="пост об управлении версиямии Git(2)" title="fig: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093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об управлении версиямии Git(2)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научился редактировать сайт, добавлять посты и вставлять в них картинки.</w:t>
      </w:r>
    </w:p>
    <w:bookmarkEnd w:id="40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2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41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42"/>
    <w:bookmarkStart w:id="44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4"/>
    <w:bookmarkStart w:id="45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5"/>
    <w:bookmarkStart w:id="47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46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47"/>
    <w:bookmarkStart w:id="48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8"/>
    <w:bookmarkStart w:id="49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hyperlink" Id="rId43" Target="http://www.amazon.com/Learning-bash-Shell-Programming-Nutshell/dp/0596009658" TargetMode="External" /><Relationship Type="http://schemas.openxmlformats.org/officeDocument/2006/relationships/hyperlink" Id="rId41" Target="https://www.gnu.org/software/bash/manual/" TargetMode="External" /><Relationship Type="http://schemas.openxmlformats.org/officeDocument/2006/relationships/hyperlink" Id="rId46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www.amazon.com/Learning-bash-Shell-Programming-Nutshell/dp/0596009658" TargetMode="External" /><Relationship Type="http://schemas.openxmlformats.org/officeDocument/2006/relationships/hyperlink" Id="rId41" Target="https://www.gnu.org/software/bash/manual/" TargetMode="External" /><Relationship Type="http://schemas.openxmlformats.org/officeDocument/2006/relationships/hyperlink" Id="rId46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2 этап</dc:title>
  <dc:creator>Кочарян Никита Робертович</dc:creator>
  <dc:language>ru-RU</dc:language>
  <cp:keywords/>
  <dcterms:created xsi:type="dcterms:W3CDTF">2023-03-17T10:24:00Z</dcterms:created>
  <dcterms:modified xsi:type="dcterms:W3CDTF">2023-03-17T10:24:00Z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