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38FFA" w14:textId="209D1AC2" w:rsidR="0094128C" w:rsidRDefault="00875EFA">
      <w:pPr>
        <w:rPr>
          <w:lang w:val="fr-BJ"/>
        </w:rPr>
      </w:pPr>
      <w:r w:rsidRPr="00152954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10BD3" wp14:editId="5FC14BD8">
                <wp:simplePos x="0" y="0"/>
                <wp:positionH relativeFrom="margin">
                  <wp:posOffset>414655</wp:posOffset>
                </wp:positionH>
                <wp:positionV relativeFrom="paragraph">
                  <wp:posOffset>-272415</wp:posOffset>
                </wp:positionV>
                <wp:extent cx="5057775" cy="38100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15A93" w14:textId="77777777" w:rsidR="00E42DE4" w:rsidRPr="00C37455" w:rsidRDefault="00E42DE4" w:rsidP="00875EFA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0"/>
                              </w:rPr>
                            </w:pPr>
                            <w:r w:rsidRPr="003E1AA4">
                              <w:rPr>
                                <w:rFonts w:ascii="Bookman Old Style" w:hAnsi="Bookman Old Style"/>
                                <w:b/>
                                <w:sz w:val="24"/>
                                <w:szCs w:val="20"/>
                              </w:rPr>
                              <w:t>AGENCE NATIONALE DU DOMAINE ET DU FONCIER</w:t>
                            </w:r>
                          </w:p>
                          <w:p w14:paraId="4B4C5CEB" w14:textId="77777777" w:rsidR="00E42DE4" w:rsidRPr="00C37455" w:rsidRDefault="00E42DE4" w:rsidP="00875EFA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810BD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2.65pt;margin-top:-21.45pt;width:398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" filled="f" stroked="f">
                <v:textbox>
                  <w:txbxContent>
                    <w:p w14:paraId="08915A93" w14:textId="77777777" w:rsidR="00E42DE4" w:rsidRPr="00C37455" w:rsidRDefault="00E42DE4" w:rsidP="00875EFA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0"/>
                        </w:rPr>
                      </w:pPr>
                      <w:r w:rsidRPr="003E1AA4">
                        <w:rPr>
                          <w:rFonts w:ascii="Bookman Old Style" w:hAnsi="Bookman Old Style"/>
                          <w:b/>
                          <w:sz w:val="24"/>
                          <w:szCs w:val="20"/>
                        </w:rPr>
                        <w:t>AGENCE NATIONALE DU DOMAINE ET DU FONCIER</w:t>
                      </w:r>
                    </w:p>
                    <w:p w14:paraId="4B4C5CEB" w14:textId="77777777" w:rsidR="00E42DE4" w:rsidRPr="00C37455" w:rsidRDefault="00E42DE4" w:rsidP="00875EFA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man Old Style" w:eastAsia="Times New Roman" w:hAnsi="Bookman Old Style" w:cs="Arial"/>
          <w:noProof/>
          <w:sz w:val="2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33D002" wp14:editId="2BF0C5DE">
                <wp:simplePos x="0" y="0"/>
                <wp:positionH relativeFrom="column">
                  <wp:posOffset>352425</wp:posOffset>
                </wp:positionH>
                <wp:positionV relativeFrom="paragraph">
                  <wp:posOffset>171450</wp:posOffset>
                </wp:positionV>
                <wp:extent cx="5208270" cy="762000"/>
                <wp:effectExtent l="0" t="0" r="11430" b="19050"/>
                <wp:wrapTopAndBottom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270" cy="762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87829" w14:textId="54D51FBA" w:rsidR="00E42DE4" w:rsidRPr="00F462EF" w:rsidRDefault="00F462EF" w:rsidP="00875EFA">
                            <w:pPr>
                              <w:jc w:val="center"/>
                              <w:rPr>
                                <w:color w:val="000000" w:themeColor="text1"/>
                                <w:lang w:val="fr-BJ"/>
                              </w:rPr>
                            </w:pPr>
                            <w:r>
                              <w:rPr>
                                <w:rFonts w:ascii="Arial Black" w:eastAsia="Times New Roman" w:hAnsi="Arial Black" w:cs="Arial"/>
                                <w:color w:val="000000" w:themeColor="text1"/>
                                <w:sz w:val="32"/>
                                <w:szCs w:val="28"/>
                                <w:lang w:val="fr-BJ" w:eastAsia="fr-FR"/>
                              </w:rPr>
                              <w:t>Quelques remarques sur l’ensemble des données transmises.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3D002" id="Rectangle à coins arrondis 2" o:spid="_x0000_s1027" style="position:absolute;margin-left:27.75pt;margin-top:13.5pt;width:410.1pt;height:6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31787829" w14:textId="54D51FBA" w:rsidR="00E42DE4" w:rsidRPr="00F462EF" w:rsidRDefault="00F462EF" w:rsidP="00875EFA">
                      <w:pPr>
                        <w:jc w:val="center"/>
                        <w:rPr>
                          <w:color w:val="000000" w:themeColor="text1"/>
                          <w:lang w:val="fr-BJ"/>
                        </w:rPr>
                      </w:pPr>
                      <w:r>
                        <w:rPr>
                          <w:rFonts w:ascii="Arial Black" w:eastAsia="Times New Roman" w:hAnsi="Arial Black" w:cs="Arial"/>
                          <w:color w:val="000000" w:themeColor="text1"/>
                          <w:sz w:val="32"/>
                          <w:szCs w:val="28"/>
                          <w:lang w:val="fr-BJ" w:eastAsia="fr-FR"/>
                        </w:rPr>
                        <w:t>Quelques remarques sur l’ensemble des données transmises.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6F4499EA" w14:textId="459D4F2D" w:rsidR="00F462EF" w:rsidRDefault="00F462EF" w:rsidP="00F462EF">
      <w:pPr>
        <w:rPr>
          <w:lang w:val="fr-BJ"/>
        </w:rPr>
      </w:pPr>
    </w:p>
    <w:p w14:paraId="1869ED29" w14:textId="68926536" w:rsidR="00F462EF" w:rsidRPr="003F586B" w:rsidRDefault="00F462EF" w:rsidP="00F462EF">
      <w:pPr>
        <w:rPr>
          <w:rFonts w:ascii="Bookman Old Style" w:hAnsi="Bookman Old Style"/>
          <w:sz w:val="24"/>
          <w:szCs w:val="24"/>
        </w:rPr>
      </w:pPr>
      <w:r w:rsidRPr="003F586B">
        <w:rPr>
          <w:rFonts w:ascii="Bookman Old Style" w:hAnsi="Bookman Old Style"/>
          <w:sz w:val="24"/>
          <w:szCs w:val="24"/>
          <w:lang w:val="fr-BJ"/>
        </w:rPr>
        <w:t>Les données attributaires.</w:t>
      </w:r>
    </w:p>
    <w:p w14:paraId="35D1A324" w14:textId="5341B590" w:rsidR="00F462EF" w:rsidRPr="003F586B" w:rsidRDefault="00F462EF" w:rsidP="00F462EF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3F586B">
        <w:rPr>
          <w:rFonts w:ascii="Bookman Old Style" w:hAnsi="Bookman Old Style"/>
          <w:b/>
          <w:bCs/>
          <w:sz w:val="24"/>
          <w:szCs w:val="24"/>
        </w:rPr>
        <w:t>Principe des données transmises :</w:t>
      </w:r>
    </w:p>
    <w:p w14:paraId="5EE4169E" w14:textId="42E6A6B2" w:rsidR="00F462EF" w:rsidRDefault="00C763B2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Dans l’espérance de respecter le principe des données à caractères personnels, un</w:t>
      </w:r>
      <w:r w:rsidR="00433D7F">
        <w:rPr>
          <w:rFonts w:ascii="Bookman Old Style" w:hAnsi="Bookman Old Style"/>
          <w:sz w:val="24"/>
          <w:szCs w:val="24"/>
        </w:rPr>
        <w:t>e anonymisation</w:t>
      </w:r>
      <w:r>
        <w:rPr>
          <w:rFonts w:ascii="Bookman Old Style" w:hAnsi="Bookman Old Style"/>
          <w:sz w:val="24"/>
          <w:szCs w:val="24"/>
        </w:rPr>
        <w:t xml:space="preserve"> a été effectué</w:t>
      </w:r>
      <w:r w:rsidR="003F586B"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 xml:space="preserve"> sur certains attributs des données transmises. </w:t>
      </w:r>
      <w:r w:rsidR="00433D7F">
        <w:rPr>
          <w:rFonts w:ascii="Bookman Old Style" w:hAnsi="Bookman Old Style"/>
          <w:sz w:val="24"/>
          <w:szCs w:val="24"/>
        </w:rPr>
        <w:t>Le travail à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433D7F">
        <w:rPr>
          <w:rFonts w:ascii="Bookman Old Style" w:hAnsi="Bookman Old Style"/>
          <w:sz w:val="24"/>
          <w:szCs w:val="24"/>
        </w:rPr>
        <w:t>consister à</w:t>
      </w:r>
      <w:r>
        <w:rPr>
          <w:rFonts w:ascii="Bookman Old Style" w:hAnsi="Bookman Old Style"/>
          <w:sz w:val="24"/>
          <w:szCs w:val="24"/>
        </w:rPr>
        <w:t xml:space="preserve"> dupliquer certains champs</w:t>
      </w:r>
      <w:r w:rsidR="00433D7F">
        <w:rPr>
          <w:rFonts w:ascii="Bookman Old Style" w:hAnsi="Bookman Old Style"/>
          <w:sz w:val="24"/>
          <w:szCs w:val="24"/>
        </w:rPr>
        <w:t xml:space="preserve"> tout en remplaçant les attributs par des informations fictives</w:t>
      </w:r>
      <w:r w:rsidR="003F586B">
        <w:rPr>
          <w:rFonts w:ascii="Bookman Old Style" w:hAnsi="Bookman Old Style"/>
          <w:sz w:val="24"/>
          <w:szCs w:val="24"/>
        </w:rPr>
        <w:t xml:space="preserve"> et</w:t>
      </w:r>
      <w:r w:rsidR="00433D7F">
        <w:rPr>
          <w:rFonts w:ascii="Bookman Old Style" w:hAnsi="Bookman Old Style"/>
          <w:sz w:val="24"/>
          <w:szCs w:val="24"/>
        </w:rPr>
        <w:t xml:space="preserve"> en conservant dans la même table les informations d’origine. Pour faire simple le suffixe « _alea » dans un champ d’une table attributaire </w:t>
      </w:r>
      <w:r w:rsidR="005E79DD">
        <w:rPr>
          <w:rFonts w:ascii="Bookman Old Style" w:hAnsi="Bookman Old Style"/>
          <w:sz w:val="24"/>
          <w:szCs w:val="24"/>
        </w:rPr>
        <w:t>indique que ce dernier comporte des attributs fictifs.</w:t>
      </w:r>
      <w:r w:rsidR="008252F1">
        <w:rPr>
          <w:rFonts w:ascii="Bookman Old Style" w:hAnsi="Bookman Old Style"/>
          <w:sz w:val="24"/>
          <w:szCs w:val="24"/>
        </w:rPr>
        <w:t xml:space="preserve"> </w:t>
      </w:r>
      <w:r w:rsidR="005E79DD">
        <w:rPr>
          <w:rFonts w:ascii="Bookman Old Style" w:hAnsi="Bookman Old Style"/>
          <w:sz w:val="24"/>
          <w:szCs w:val="24"/>
        </w:rPr>
        <w:t>Il faut aussi noter que dans chaque table d’attribut, il y a le champ « id » qui est créé pour servir de pont entre les deux types d’informations.</w:t>
      </w:r>
    </w:p>
    <w:p w14:paraId="615DF2D3" w14:textId="2A3FC30A" w:rsidR="008252F1" w:rsidRDefault="00B559FC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Ci-dessous quelques informations relatives aux données transmises.</w:t>
      </w:r>
    </w:p>
    <w:p w14:paraId="3FDC4C22" w14:textId="094099EE" w:rsidR="008252F1" w:rsidRDefault="008252F1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97400">
        <w:rPr>
          <w:rFonts w:ascii="Bookman Old Style" w:hAnsi="Bookman Old Style"/>
          <w:b/>
          <w:bCs/>
          <w:sz w:val="24"/>
          <w:szCs w:val="24"/>
        </w:rPr>
        <w:t>La couche des AIF (Association d’Intérêts Foncier) :</w:t>
      </w:r>
      <w:r>
        <w:rPr>
          <w:rFonts w:ascii="Bookman Old Style" w:hAnsi="Bookman Old Style"/>
          <w:sz w:val="24"/>
          <w:szCs w:val="24"/>
        </w:rPr>
        <w:t xml:space="preserve"> Elle porte sur de superficies considérables qui regroupe</w:t>
      </w:r>
      <w:r w:rsidR="009A1A58">
        <w:rPr>
          <w:rFonts w:ascii="Bookman Old Style" w:hAnsi="Bookman Old Style"/>
          <w:sz w:val="24"/>
          <w:szCs w:val="24"/>
        </w:rPr>
        <w:t>nt</w:t>
      </w:r>
      <w:r>
        <w:rPr>
          <w:rFonts w:ascii="Bookman Old Style" w:hAnsi="Bookman Old Style"/>
          <w:sz w:val="24"/>
          <w:szCs w:val="24"/>
        </w:rPr>
        <w:t xml:space="preserve"> parfois un ou plusieurs villages. </w:t>
      </w:r>
      <w:r w:rsidR="0030157C">
        <w:rPr>
          <w:rFonts w:ascii="Bookman Old Style" w:hAnsi="Bookman Old Style"/>
          <w:sz w:val="24"/>
          <w:szCs w:val="24"/>
        </w:rPr>
        <w:t xml:space="preserve">Un AIF est </w:t>
      </w:r>
      <w:r w:rsidR="00007E93">
        <w:rPr>
          <w:rFonts w:ascii="Bookman Old Style" w:hAnsi="Bookman Old Style"/>
          <w:sz w:val="24"/>
          <w:szCs w:val="24"/>
        </w:rPr>
        <w:t xml:space="preserve">aussi </w:t>
      </w:r>
      <w:r w:rsidR="0030157C">
        <w:rPr>
          <w:rFonts w:ascii="Bookman Old Style" w:hAnsi="Bookman Old Style"/>
          <w:sz w:val="24"/>
          <w:szCs w:val="24"/>
        </w:rPr>
        <w:t>un Titre Foncier qui porte sur un périmètre. Et comme l’exige le Code Foncier et Domanial, tout</w:t>
      </w:r>
      <w:r w:rsidR="00A6069B">
        <w:rPr>
          <w:rFonts w:ascii="Bookman Old Style" w:hAnsi="Bookman Old Style"/>
          <w:sz w:val="24"/>
          <w:szCs w:val="24"/>
        </w:rPr>
        <w:t>e</w:t>
      </w:r>
      <w:r w:rsidR="0030157C">
        <w:rPr>
          <w:rFonts w:ascii="Bookman Old Style" w:hAnsi="Bookman Old Style"/>
          <w:sz w:val="24"/>
          <w:szCs w:val="24"/>
        </w:rPr>
        <w:t xml:space="preserve"> parcelle inclut dans un Titre Foncier, doit faire objet de morcellement pour avoir un Titre Foncier distinct.</w:t>
      </w:r>
    </w:p>
    <w:p w14:paraId="2563AE35" w14:textId="06E479F3" w:rsidR="00A6069B" w:rsidRDefault="00A6069B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97400">
        <w:rPr>
          <w:rFonts w:ascii="Bookman Old Style" w:hAnsi="Bookman Old Style"/>
          <w:b/>
          <w:bCs/>
          <w:sz w:val="24"/>
          <w:szCs w:val="24"/>
        </w:rPr>
        <w:t>La couche des air protégées 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A1A58" w:rsidRPr="009A1A58">
        <w:rPr>
          <w:rFonts w:ascii="Bookman Old Style" w:hAnsi="Bookman Old Style"/>
          <w:sz w:val="24"/>
          <w:szCs w:val="24"/>
        </w:rPr>
        <w:t>Il faut marquer un astérisque sur cette couche parce qu’elle n’est pas tout à fait fiable. Suivant le contexte, certaines emprises ou limites de ces entités ne sont pas respectés dans les résultats de contrôle.</w:t>
      </w:r>
    </w:p>
    <w:p w14:paraId="443DB018" w14:textId="5582B9DE" w:rsidR="005034C9" w:rsidRDefault="005034C9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5034C9">
        <w:rPr>
          <w:rFonts w:ascii="Bookman Old Style" w:hAnsi="Bookman Old Style"/>
          <w:b/>
          <w:bCs/>
          <w:sz w:val="24"/>
          <w:szCs w:val="24"/>
        </w:rPr>
        <w:t>Les Couches DPL (Domaine Public Lagunaire) et DPM (Domaine Public Maritime)</w:t>
      </w:r>
      <w:r>
        <w:rPr>
          <w:rFonts w:ascii="Bookman Old Style" w:hAnsi="Bookman Old Style"/>
          <w:sz w:val="24"/>
          <w:szCs w:val="24"/>
        </w:rPr>
        <w:t> : Comme leurs noms l’indiquent ces deux couches délimitent</w:t>
      </w:r>
      <w:r w:rsidR="00007E9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le périmètre inhabitable autours des plans d’eau.</w:t>
      </w:r>
    </w:p>
    <w:p w14:paraId="3EB92AEE" w14:textId="28147ACD" w:rsidR="005034C9" w:rsidRDefault="005034C9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F45F71">
        <w:rPr>
          <w:rFonts w:ascii="Bookman Old Style" w:hAnsi="Bookman Old Style"/>
          <w:b/>
          <w:bCs/>
          <w:sz w:val="24"/>
          <w:szCs w:val="24"/>
        </w:rPr>
        <w:t>La couche des Titres Fonciers démembrés 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A1A58" w:rsidRPr="009A1A58">
        <w:rPr>
          <w:rFonts w:ascii="Bookman Old Style" w:hAnsi="Bookman Old Style"/>
          <w:sz w:val="24"/>
          <w:szCs w:val="24"/>
        </w:rPr>
        <w:t xml:space="preserve">Il faut retenir qu’un Titre Foncier dit démembré, est dans la majorité des cas situé dans une zone lotie </w:t>
      </w:r>
      <w:r w:rsidR="009A1A58" w:rsidRPr="009A1A58">
        <w:rPr>
          <w:rFonts w:ascii="Bookman Old Style" w:hAnsi="Bookman Old Style"/>
          <w:sz w:val="24"/>
          <w:szCs w:val="24"/>
        </w:rPr>
        <w:lastRenderedPageBreak/>
        <w:t xml:space="preserve">et que sa surface a été morcelé ou recasé. Sinon, c’est un titre foncier qui n’est pas pris en compte dans la couche parcellaire simplement parce que sa configuration ne correspond plus à la situation actuelle du terrain. Dans sa table attributaire, le champ « </w:t>
      </w:r>
      <w:proofErr w:type="spellStart"/>
      <w:r w:rsidR="009A1A58" w:rsidRPr="009A1A58">
        <w:rPr>
          <w:rFonts w:ascii="Bookman Old Style" w:hAnsi="Bookman Old Style"/>
          <w:sz w:val="24"/>
          <w:szCs w:val="24"/>
        </w:rPr>
        <w:t>num_tf</w:t>
      </w:r>
      <w:proofErr w:type="spellEnd"/>
      <w:r w:rsidR="009A1A58" w:rsidRPr="009A1A58">
        <w:rPr>
          <w:rFonts w:ascii="Bookman Old Style" w:hAnsi="Bookman Old Style"/>
          <w:sz w:val="24"/>
          <w:szCs w:val="24"/>
        </w:rPr>
        <w:t xml:space="preserve"> » contient les numéros des TF.</w:t>
      </w:r>
    </w:p>
    <w:p w14:paraId="35E51358" w14:textId="545EA578" w:rsidR="00C7245A" w:rsidRDefault="00C7245A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F45F71">
        <w:rPr>
          <w:rFonts w:ascii="Bookman Old Style" w:hAnsi="Bookman Old Style"/>
          <w:b/>
          <w:bCs/>
          <w:sz w:val="24"/>
          <w:szCs w:val="24"/>
        </w:rPr>
        <w:t xml:space="preserve">La couche des Titres Fonciers </w:t>
      </w:r>
      <w:r>
        <w:rPr>
          <w:rFonts w:ascii="Bookman Old Style" w:hAnsi="Bookman Old Style"/>
          <w:b/>
          <w:bCs/>
          <w:sz w:val="24"/>
          <w:szCs w:val="24"/>
        </w:rPr>
        <w:t>reconstitués</w:t>
      </w:r>
      <w:r w:rsidRPr="00F45F71">
        <w:rPr>
          <w:rFonts w:ascii="Bookman Old Style" w:hAnsi="Bookman Old Style"/>
          <w:b/>
          <w:bCs/>
          <w:sz w:val="24"/>
          <w:szCs w:val="24"/>
        </w:rPr>
        <w:t> :</w:t>
      </w:r>
      <w:r w:rsidR="003E5162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543043" w:rsidRPr="00543043">
        <w:rPr>
          <w:rFonts w:ascii="Bookman Old Style" w:hAnsi="Bookman Old Style"/>
          <w:sz w:val="24"/>
          <w:szCs w:val="24"/>
        </w:rPr>
        <w:t>Cette couche contient les mêmes informations que la couche des TF démembrés à la seule différence que cette dernière</w:t>
      </w:r>
      <w:r w:rsidR="005A45EA">
        <w:rPr>
          <w:rFonts w:ascii="Bookman Old Style" w:hAnsi="Bookman Old Style"/>
          <w:sz w:val="24"/>
          <w:szCs w:val="24"/>
        </w:rPr>
        <w:t xml:space="preserve"> dans</w:t>
      </w:r>
      <w:r w:rsidR="00543043" w:rsidRPr="00543043">
        <w:rPr>
          <w:rFonts w:ascii="Bookman Old Style" w:hAnsi="Bookman Old Style"/>
          <w:sz w:val="24"/>
          <w:szCs w:val="24"/>
        </w:rPr>
        <w:t xml:space="preserve"> la plupart </w:t>
      </w:r>
      <w:r w:rsidR="005A45EA">
        <w:rPr>
          <w:rFonts w:ascii="Bookman Old Style" w:hAnsi="Bookman Old Style"/>
          <w:sz w:val="24"/>
          <w:szCs w:val="24"/>
        </w:rPr>
        <w:t xml:space="preserve">des cas porte </w:t>
      </w:r>
      <w:r w:rsidR="00543043" w:rsidRPr="00543043">
        <w:rPr>
          <w:rFonts w:ascii="Bookman Old Style" w:hAnsi="Bookman Old Style"/>
          <w:sz w:val="24"/>
          <w:szCs w:val="24"/>
        </w:rPr>
        <w:t>sur de grandes superficies.</w:t>
      </w:r>
    </w:p>
    <w:p w14:paraId="601A4024" w14:textId="6661FA9B" w:rsidR="00543043" w:rsidRDefault="00543043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543043">
        <w:rPr>
          <w:rFonts w:ascii="Bookman Old Style" w:hAnsi="Bookman Old Style"/>
          <w:b/>
          <w:bCs/>
          <w:sz w:val="24"/>
          <w:szCs w:val="24"/>
        </w:rPr>
        <w:t>La couche des TF en cours :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543043">
        <w:rPr>
          <w:rFonts w:ascii="Bookman Old Style" w:hAnsi="Bookman Old Style"/>
          <w:sz w:val="24"/>
          <w:szCs w:val="24"/>
        </w:rPr>
        <w:t>Comme son nom l’indique, elle représente les parcelles en cours de morcellement ou de confirmations de droits fonciers.</w:t>
      </w:r>
    </w:p>
    <w:p w14:paraId="14F4DFD1" w14:textId="6F79D90E" w:rsidR="00CC0F99" w:rsidRPr="00CC0F99" w:rsidRDefault="00CC0F99" w:rsidP="003F586B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C0F99">
        <w:rPr>
          <w:rFonts w:ascii="Bookman Old Style" w:hAnsi="Bookman Old Style"/>
          <w:b/>
          <w:bCs/>
          <w:sz w:val="24"/>
          <w:szCs w:val="24"/>
        </w:rPr>
        <w:t xml:space="preserve">La couche des parcelles objets d’enregistrement individuel : </w:t>
      </w:r>
      <w:r w:rsidRPr="003F2775">
        <w:rPr>
          <w:rFonts w:ascii="Bookman Old Style" w:hAnsi="Bookman Old Style"/>
          <w:sz w:val="24"/>
          <w:szCs w:val="24"/>
        </w:rPr>
        <w:t>Tout comme les titres fonciers, cette couche représente aussi une catégorie d’information importante. Elle contient, une partie des parcelles qui sont enregistrés au cadastre.</w:t>
      </w:r>
    </w:p>
    <w:p w14:paraId="07258515" w14:textId="756A47D0" w:rsidR="00DB2378" w:rsidRDefault="00DB2378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F45F71">
        <w:rPr>
          <w:rFonts w:ascii="Bookman Old Style" w:hAnsi="Bookman Old Style"/>
          <w:b/>
          <w:bCs/>
          <w:sz w:val="24"/>
          <w:szCs w:val="24"/>
        </w:rPr>
        <w:t>La couche des Titres Fonciers de l’État (</w:t>
      </w:r>
      <w:proofErr w:type="spellStart"/>
      <w:r w:rsidRPr="00F45F71">
        <w:rPr>
          <w:rFonts w:ascii="Bookman Old Style" w:hAnsi="Bookman Old Style"/>
          <w:b/>
          <w:bCs/>
          <w:sz w:val="24"/>
          <w:szCs w:val="24"/>
        </w:rPr>
        <w:t>tf_etat</w:t>
      </w:r>
      <w:proofErr w:type="spellEnd"/>
      <w:r w:rsidRPr="00F45F71">
        <w:rPr>
          <w:rFonts w:ascii="Bookman Old Style" w:hAnsi="Bookman Old Style"/>
          <w:b/>
          <w:bCs/>
          <w:sz w:val="24"/>
          <w:szCs w:val="24"/>
        </w:rPr>
        <w:t>) :</w:t>
      </w:r>
      <w:r>
        <w:rPr>
          <w:rFonts w:ascii="Bookman Old Style" w:hAnsi="Bookman Old Style"/>
          <w:sz w:val="24"/>
          <w:szCs w:val="24"/>
        </w:rPr>
        <w:t xml:space="preserve"> Cette couche contient un échantillon des TF de l’état.</w:t>
      </w:r>
    </w:p>
    <w:p w14:paraId="4B1EFB4F" w14:textId="3E65058E" w:rsidR="00F23994" w:rsidRDefault="00F23994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312A29">
        <w:rPr>
          <w:rFonts w:ascii="Bookman Old Style" w:hAnsi="Bookman Old Style"/>
          <w:b/>
          <w:bCs/>
          <w:sz w:val="24"/>
          <w:szCs w:val="24"/>
        </w:rPr>
        <w:t>La couche des zones litigieuses :</w:t>
      </w:r>
      <w:r>
        <w:rPr>
          <w:rFonts w:ascii="Bookman Old Style" w:hAnsi="Bookman Old Style"/>
          <w:sz w:val="24"/>
          <w:szCs w:val="24"/>
        </w:rPr>
        <w:t xml:space="preserve"> Elle contient les entités surfaciques en litige devant les juridictions.</w:t>
      </w:r>
    </w:p>
    <w:p w14:paraId="55C6E19F" w14:textId="22383CDB" w:rsidR="00F23994" w:rsidRPr="003F586B" w:rsidRDefault="00F23994" w:rsidP="003F586B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312A29">
        <w:rPr>
          <w:rFonts w:ascii="Bookman Old Style" w:hAnsi="Bookman Old Style"/>
          <w:b/>
          <w:bCs/>
          <w:sz w:val="24"/>
          <w:szCs w:val="24"/>
        </w:rPr>
        <w:t>La couche des restriction</w:t>
      </w:r>
      <w:r w:rsidR="00C7245A">
        <w:rPr>
          <w:rFonts w:ascii="Bookman Old Style" w:hAnsi="Bookman Old Style"/>
          <w:b/>
          <w:bCs/>
          <w:sz w:val="24"/>
          <w:szCs w:val="24"/>
        </w:rPr>
        <w:t>s</w:t>
      </w:r>
      <w:r w:rsidRPr="00312A29">
        <w:rPr>
          <w:rFonts w:ascii="Bookman Old Style" w:hAnsi="Bookman Old Style"/>
          <w:b/>
          <w:bCs/>
          <w:sz w:val="24"/>
          <w:szCs w:val="24"/>
        </w:rPr>
        <w:t xml:space="preserve"> : </w:t>
      </w:r>
      <w:r>
        <w:rPr>
          <w:rFonts w:ascii="Bookman Old Style" w:hAnsi="Bookman Old Style"/>
          <w:sz w:val="24"/>
          <w:szCs w:val="24"/>
        </w:rPr>
        <w:t>Elle se rapporte à plusieurs types de restriction dont les zones déclarées d’utilités publiques. Le champ « type » dans sa table d’attribut renseigne sur sa classification</w:t>
      </w:r>
      <w:r w:rsidR="00312A29">
        <w:rPr>
          <w:rFonts w:ascii="Bookman Old Style" w:hAnsi="Bookman Old Style"/>
          <w:sz w:val="24"/>
          <w:szCs w:val="24"/>
        </w:rPr>
        <w:t xml:space="preserve"> et le champ </w:t>
      </w:r>
      <w:r w:rsidR="00C7245A">
        <w:rPr>
          <w:rFonts w:ascii="Bookman Old Style" w:hAnsi="Bookman Old Style"/>
          <w:sz w:val="24"/>
          <w:szCs w:val="24"/>
        </w:rPr>
        <w:t>désignation</w:t>
      </w:r>
      <w:r w:rsidR="00312A29">
        <w:rPr>
          <w:rFonts w:ascii="Bookman Old Style" w:hAnsi="Bookman Old Style"/>
          <w:sz w:val="24"/>
          <w:szCs w:val="24"/>
        </w:rPr>
        <w:t xml:space="preserve"> donne quelques détails sur sa classe. Notons que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C7245A">
        <w:rPr>
          <w:rFonts w:ascii="Bookman Old Style" w:hAnsi="Bookman Old Style"/>
          <w:sz w:val="24"/>
          <w:szCs w:val="24"/>
        </w:rPr>
        <w:t>s</w:t>
      </w:r>
      <w:r w:rsidR="00312A29">
        <w:rPr>
          <w:rFonts w:ascii="Bookman Old Style" w:hAnsi="Bookman Old Style"/>
          <w:sz w:val="24"/>
          <w:szCs w:val="24"/>
        </w:rPr>
        <w:t xml:space="preserve">eules les entités appartenant aux types « ZDUP ou PAG » ont le champ </w:t>
      </w:r>
      <w:r w:rsidR="00C7245A">
        <w:rPr>
          <w:rFonts w:ascii="Bookman Old Style" w:hAnsi="Bookman Old Style"/>
          <w:sz w:val="24"/>
          <w:szCs w:val="24"/>
        </w:rPr>
        <w:t>désignation</w:t>
      </w:r>
      <w:r w:rsidR="00312A29">
        <w:rPr>
          <w:rFonts w:ascii="Bookman Old Style" w:hAnsi="Bookman Old Style"/>
          <w:sz w:val="24"/>
          <w:szCs w:val="24"/>
        </w:rPr>
        <w:t xml:space="preserve"> qui est renseigné</w:t>
      </w:r>
      <w:r w:rsidR="009A1A58">
        <w:rPr>
          <w:rFonts w:ascii="Bookman Old Style" w:hAnsi="Bookman Old Style"/>
          <w:sz w:val="24"/>
          <w:szCs w:val="24"/>
        </w:rPr>
        <w:t>e</w:t>
      </w:r>
      <w:r w:rsidR="00312A29">
        <w:rPr>
          <w:rFonts w:ascii="Bookman Old Style" w:hAnsi="Bookman Old Style"/>
          <w:sz w:val="24"/>
          <w:szCs w:val="24"/>
        </w:rPr>
        <w:t>.</w:t>
      </w:r>
    </w:p>
    <w:sectPr w:rsidR="00F23994" w:rsidRPr="003F586B" w:rsidSect="009D78B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426" w:left="1417" w:header="708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72469" w14:textId="77777777" w:rsidR="00D27E50" w:rsidRDefault="00D27E50">
      <w:pPr>
        <w:spacing w:after="0" w:line="240" w:lineRule="auto"/>
      </w:pPr>
      <w:r>
        <w:separator/>
      </w:r>
    </w:p>
  </w:endnote>
  <w:endnote w:type="continuationSeparator" w:id="0">
    <w:p w14:paraId="0F4B1C5D" w14:textId="77777777" w:rsidR="00D27E50" w:rsidRDefault="00D2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Ind w:w="35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2"/>
      <w:gridCol w:w="1172"/>
      <w:gridCol w:w="1172"/>
    </w:tblGrid>
    <w:tr w:rsidR="00590086" w14:paraId="5964EF0E" w14:textId="77777777" w:rsidTr="002B53F0">
      <w:trPr>
        <w:trHeight w:val="18"/>
      </w:trPr>
      <w:tc>
        <w:tcPr>
          <w:tcW w:w="1172" w:type="dxa"/>
          <w:shd w:val="clear" w:color="auto" w:fill="367241"/>
          <w:tcMar>
            <w:top w:w="0" w:type="dxa"/>
            <w:left w:w="28" w:type="dxa"/>
            <w:bottom w:w="0" w:type="dxa"/>
            <w:right w:w="28" w:type="dxa"/>
          </w:tcMar>
        </w:tcPr>
        <w:p w14:paraId="32316E8F" w14:textId="77777777" w:rsidR="00FC3EBF" w:rsidRDefault="00FC3EBF" w:rsidP="00590086">
          <w:pPr>
            <w:pStyle w:val="Pieddepage"/>
            <w:jc w:val="center"/>
            <w:rPr>
              <w:noProof/>
              <w:lang w:eastAsia="fr-FR"/>
            </w:rPr>
          </w:pPr>
        </w:p>
      </w:tc>
      <w:tc>
        <w:tcPr>
          <w:tcW w:w="1172" w:type="dxa"/>
          <w:shd w:val="clear" w:color="auto" w:fill="FFC000"/>
          <w:tcMar>
            <w:top w:w="0" w:type="dxa"/>
            <w:left w:w="28" w:type="dxa"/>
            <w:bottom w:w="0" w:type="dxa"/>
            <w:right w:w="28" w:type="dxa"/>
          </w:tcMar>
        </w:tcPr>
        <w:p w14:paraId="2D6B2776" w14:textId="77777777" w:rsidR="00FC3EBF" w:rsidRDefault="00FC3EBF" w:rsidP="00590086">
          <w:pPr>
            <w:pStyle w:val="Pieddepage"/>
            <w:jc w:val="center"/>
            <w:rPr>
              <w:noProof/>
              <w:lang w:eastAsia="fr-FR"/>
            </w:rPr>
          </w:pPr>
        </w:p>
      </w:tc>
      <w:tc>
        <w:tcPr>
          <w:tcW w:w="1172" w:type="dxa"/>
          <w:shd w:val="clear" w:color="auto" w:fill="C00000"/>
          <w:tcMar>
            <w:top w:w="0" w:type="dxa"/>
            <w:left w:w="28" w:type="dxa"/>
            <w:bottom w:w="0" w:type="dxa"/>
            <w:right w:w="28" w:type="dxa"/>
          </w:tcMar>
        </w:tcPr>
        <w:p w14:paraId="02D5A699" w14:textId="77777777" w:rsidR="00FC3EBF" w:rsidRDefault="00FC3EBF" w:rsidP="00590086">
          <w:pPr>
            <w:pStyle w:val="Pieddepage"/>
            <w:jc w:val="center"/>
            <w:rPr>
              <w:noProof/>
              <w:lang w:eastAsia="fr-FR"/>
            </w:rPr>
          </w:pPr>
        </w:p>
      </w:tc>
    </w:tr>
  </w:tbl>
  <w:p w14:paraId="1033E420" w14:textId="77777777" w:rsidR="00FC3EBF" w:rsidRDefault="00311899" w:rsidP="00F35611">
    <w:pPr>
      <w:pStyle w:val="Pieddepage"/>
      <w:tabs>
        <w:tab w:val="clear" w:pos="4536"/>
        <w:tab w:val="clear" w:pos="9072"/>
        <w:tab w:val="left" w:pos="5490"/>
      </w:tabs>
    </w:pPr>
    <w:r>
      <w:tab/>
    </w:r>
  </w:p>
  <w:p w14:paraId="31C369A8" w14:textId="77777777" w:rsidR="00FC3EBF" w:rsidRDefault="00FC3EBF" w:rsidP="00AB3A40">
    <w:pPr>
      <w:pStyle w:val="Pieddepage"/>
      <w:tabs>
        <w:tab w:val="clear" w:pos="4536"/>
        <w:tab w:val="clear" w:pos="9072"/>
        <w:tab w:val="left" w:pos="549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2"/>
      <w:gridCol w:w="1172"/>
      <w:gridCol w:w="1172"/>
    </w:tblGrid>
    <w:tr w:rsidR="00590086" w14:paraId="4491584B" w14:textId="77777777" w:rsidTr="00C30A4D">
      <w:trPr>
        <w:trHeight w:val="18"/>
        <w:jc w:val="center"/>
      </w:trPr>
      <w:tc>
        <w:tcPr>
          <w:tcW w:w="1172" w:type="dxa"/>
          <w:shd w:val="clear" w:color="auto" w:fill="367241"/>
          <w:tcMar>
            <w:top w:w="0" w:type="dxa"/>
            <w:left w:w="28" w:type="dxa"/>
            <w:bottom w:w="0" w:type="dxa"/>
            <w:right w:w="28" w:type="dxa"/>
          </w:tcMar>
        </w:tcPr>
        <w:p w14:paraId="0B53BFE8" w14:textId="77777777" w:rsidR="00FC3EBF" w:rsidRDefault="00FC3EBF" w:rsidP="00590086">
          <w:pPr>
            <w:pStyle w:val="Pieddepage"/>
            <w:jc w:val="center"/>
            <w:rPr>
              <w:noProof/>
              <w:lang w:eastAsia="fr-FR"/>
            </w:rPr>
          </w:pPr>
        </w:p>
      </w:tc>
      <w:tc>
        <w:tcPr>
          <w:tcW w:w="1172" w:type="dxa"/>
          <w:shd w:val="clear" w:color="auto" w:fill="FFC000"/>
          <w:tcMar>
            <w:top w:w="0" w:type="dxa"/>
            <w:left w:w="28" w:type="dxa"/>
            <w:bottom w:w="0" w:type="dxa"/>
            <w:right w:w="28" w:type="dxa"/>
          </w:tcMar>
        </w:tcPr>
        <w:p w14:paraId="26F5E39A" w14:textId="77777777" w:rsidR="00FC3EBF" w:rsidRDefault="00FC3EBF" w:rsidP="00590086">
          <w:pPr>
            <w:pStyle w:val="Pieddepage"/>
            <w:jc w:val="center"/>
            <w:rPr>
              <w:noProof/>
              <w:lang w:eastAsia="fr-FR"/>
            </w:rPr>
          </w:pPr>
        </w:p>
      </w:tc>
      <w:tc>
        <w:tcPr>
          <w:tcW w:w="1172" w:type="dxa"/>
          <w:shd w:val="clear" w:color="auto" w:fill="C00000"/>
          <w:tcMar>
            <w:top w:w="0" w:type="dxa"/>
            <w:left w:w="28" w:type="dxa"/>
            <w:bottom w:w="0" w:type="dxa"/>
            <w:right w:w="28" w:type="dxa"/>
          </w:tcMar>
        </w:tcPr>
        <w:p w14:paraId="422946E3" w14:textId="77777777" w:rsidR="00FC3EBF" w:rsidRDefault="00FC3EBF" w:rsidP="00590086">
          <w:pPr>
            <w:pStyle w:val="Pieddepage"/>
            <w:jc w:val="center"/>
            <w:rPr>
              <w:noProof/>
              <w:lang w:eastAsia="fr-FR"/>
            </w:rPr>
          </w:pPr>
        </w:p>
      </w:tc>
    </w:tr>
  </w:tbl>
  <w:p w14:paraId="16F50952" w14:textId="77777777" w:rsidR="00FC3EBF" w:rsidRDefault="00FC3EBF" w:rsidP="0002176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37ACF" w14:textId="77777777" w:rsidR="00D27E50" w:rsidRDefault="00D27E50">
      <w:pPr>
        <w:spacing w:after="0" w:line="240" w:lineRule="auto"/>
      </w:pPr>
      <w:r>
        <w:separator/>
      </w:r>
    </w:p>
  </w:footnote>
  <w:footnote w:type="continuationSeparator" w:id="0">
    <w:p w14:paraId="4082B069" w14:textId="77777777" w:rsidR="00D27E50" w:rsidRDefault="00D2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279B1" w14:textId="77777777" w:rsidR="00FC3EBF" w:rsidRDefault="00FC3EBF">
    <w:pPr>
      <w:pStyle w:val="En-tte"/>
    </w:pPr>
  </w:p>
  <w:p w14:paraId="464340E9" w14:textId="77777777" w:rsidR="00FC3EBF" w:rsidRDefault="00FC3EBF">
    <w:pPr>
      <w:pStyle w:val="En-tte"/>
    </w:pPr>
  </w:p>
  <w:p w14:paraId="1D1DFAAC" w14:textId="77777777" w:rsidR="00FC3EBF" w:rsidRDefault="00FC3EB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B7F61" w14:textId="77777777" w:rsidR="00FC3EBF" w:rsidRDefault="00311899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ED976B" wp14:editId="68D547AA">
              <wp:simplePos x="0" y="0"/>
              <wp:positionH relativeFrom="column">
                <wp:posOffset>3477895</wp:posOffset>
              </wp:positionH>
              <wp:positionV relativeFrom="paragraph">
                <wp:posOffset>-244475</wp:posOffset>
              </wp:positionV>
              <wp:extent cx="2839720" cy="694690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39720" cy="69469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2158A2" w14:textId="77777777" w:rsidR="00601D55" w:rsidRPr="004D71E9" w:rsidRDefault="00601D55" w:rsidP="00601D55">
                          <w:pPr>
                            <w:spacing w:after="0" w:line="276" w:lineRule="auto"/>
                            <w:jc w:val="both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D71E9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368, Avenue Pape Jean Paul II ; 01 BP 302 </w:t>
                          </w:r>
                        </w:p>
                        <w:p w14:paraId="1C523C49" w14:textId="77777777" w:rsidR="00601D55" w:rsidRPr="00C047F6" w:rsidRDefault="00601D55" w:rsidP="00601D55">
                          <w:pPr>
                            <w:spacing w:after="0" w:line="276" w:lineRule="auto"/>
                            <w:jc w:val="both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D71E9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 xml:space="preserve">COTONOU Tél : 21 30 10 20 – Fax : 21 30 18 51  </w:t>
                          </w:r>
                        </w:p>
                        <w:p w14:paraId="19DF728C" w14:textId="77777777" w:rsidR="00601D55" w:rsidRPr="004D71E9" w:rsidRDefault="00601D55" w:rsidP="00601D55">
                          <w:pPr>
                            <w:spacing w:after="120" w:line="276" w:lineRule="auto"/>
                            <w:jc w:val="both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C047F6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www.finances.bj</w:t>
                          </w:r>
                        </w:p>
                        <w:p w14:paraId="1C55891B" w14:textId="592B3872" w:rsidR="00FC3EBF" w:rsidRPr="000F3E50" w:rsidRDefault="00FC3EBF" w:rsidP="00F35611">
                          <w:pPr>
                            <w:spacing w:after="0"/>
                            <w:rPr>
                              <w:rFonts w:ascii="Segoe UI" w:hAnsi="Segoe UI" w:cs="Segoe U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ED976B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273.85pt;margin-top:-19.25pt;width:223.6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" fillcolor="window" stroked="f" strokeweight=".5pt">
              <v:textbox>
                <w:txbxContent>
                  <w:p w14:paraId="6A2158A2" w14:textId="77777777" w:rsidR="00601D55" w:rsidRPr="004D71E9" w:rsidRDefault="00601D55" w:rsidP="00601D55">
                    <w:pPr>
                      <w:spacing w:after="0" w:line="276" w:lineRule="auto"/>
                      <w:jc w:val="both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D71E9">
                      <w:rPr>
                        <w:rFonts w:ascii="Segoe UI" w:hAnsi="Segoe UI" w:cs="Segoe UI"/>
                        <w:sz w:val="20"/>
                        <w:szCs w:val="20"/>
                      </w:rPr>
                      <w:t>368, Avenue Pape Jean Paul II ; 01 BP 302 </w:t>
                    </w:r>
                  </w:p>
                  <w:p w14:paraId="1C523C49" w14:textId="77777777" w:rsidR="00601D55" w:rsidRPr="00C047F6" w:rsidRDefault="00601D55" w:rsidP="00601D55">
                    <w:pPr>
                      <w:spacing w:after="0" w:line="276" w:lineRule="auto"/>
                      <w:jc w:val="both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D71E9">
                      <w:rPr>
                        <w:rFonts w:ascii="Segoe UI" w:hAnsi="Segoe UI" w:cs="Segoe UI"/>
                        <w:sz w:val="20"/>
                        <w:szCs w:val="20"/>
                      </w:rPr>
                      <w:t xml:space="preserve">COTONOU Tél : 21 30 10 20 – Fax : 21 30 18 51  </w:t>
                    </w:r>
                  </w:p>
                  <w:p w14:paraId="19DF728C" w14:textId="77777777" w:rsidR="00601D55" w:rsidRPr="004D71E9" w:rsidRDefault="00601D55" w:rsidP="00601D55">
                    <w:pPr>
                      <w:spacing w:after="120" w:line="276" w:lineRule="auto"/>
                      <w:jc w:val="both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C047F6">
                      <w:rPr>
                        <w:rFonts w:ascii="Segoe UI" w:hAnsi="Segoe UI" w:cs="Segoe UI"/>
                        <w:sz w:val="20"/>
                        <w:szCs w:val="20"/>
                      </w:rPr>
                      <w:t>www.finances.bj</w:t>
                    </w:r>
                  </w:p>
                  <w:p w14:paraId="1C55891B" w14:textId="592B3872" w:rsidR="00FC3EBF" w:rsidRPr="000F3E50" w:rsidRDefault="00FC3EBF" w:rsidP="00F35611">
                    <w:pPr>
                      <w:spacing w:after="0"/>
                      <w:rPr>
                        <w:rFonts w:ascii="Segoe UI" w:hAnsi="Segoe UI" w:cs="Segoe UI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580F494" wp14:editId="5F339593">
          <wp:simplePos x="0" y="0"/>
          <wp:positionH relativeFrom="column">
            <wp:posOffset>-499745</wp:posOffset>
          </wp:positionH>
          <wp:positionV relativeFrom="paragraph">
            <wp:posOffset>-392430</wp:posOffset>
          </wp:positionV>
          <wp:extent cx="3067050" cy="749300"/>
          <wp:effectExtent l="0" t="0" r="0" b="0"/>
          <wp:wrapNone/>
          <wp:docPr id="20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127823" w14:textId="0801A4EE" w:rsidR="00FC3EBF" w:rsidRDefault="00FC3EBF">
    <w:pPr>
      <w:pStyle w:val="En-tte"/>
    </w:pPr>
  </w:p>
  <w:p w14:paraId="0297D6FF" w14:textId="77777777" w:rsidR="00FC3EBF" w:rsidRDefault="00FC3EBF">
    <w:pPr>
      <w:pStyle w:val="En-tte"/>
    </w:pPr>
  </w:p>
  <w:p w14:paraId="161FA6EB" w14:textId="77777777" w:rsidR="00FC3EBF" w:rsidRDefault="00FC3EBF">
    <w:pPr>
      <w:pStyle w:val="En-tte"/>
    </w:pPr>
  </w:p>
  <w:p w14:paraId="57533447" w14:textId="77777777" w:rsidR="00FC3EBF" w:rsidRDefault="00FC3EBF">
    <w:pPr>
      <w:pStyle w:val="En-tte"/>
    </w:pPr>
  </w:p>
  <w:p w14:paraId="2E096D66" w14:textId="77777777" w:rsidR="00FC3EBF" w:rsidRDefault="00FC3EB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9"/>
    <w:rsid w:val="00007E93"/>
    <w:rsid w:val="00085148"/>
    <w:rsid w:val="00087C65"/>
    <w:rsid w:val="0009560F"/>
    <w:rsid w:val="000A58C2"/>
    <w:rsid w:val="000A5D61"/>
    <w:rsid w:val="000B3F40"/>
    <w:rsid w:val="000C5158"/>
    <w:rsid w:val="0010125D"/>
    <w:rsid w:val="0010443D"/>
    <w:rsid w:val="00111408"/>
    <w:rsid w:val="00111E1B"/>
    <w:rsid w:val="00114DA1"/>
    <w:rsid w:val="00161691"/>
    <w:rsid w:val="00181801"/>
    <w:rsid w:val="00184CAA"/>
    <w:rsid w:val="001A51EE"/>
    <w:rsid w:val="001B1806"/>
    <w:rsid w:val="001B322D"/>
    <w:rsid w:val="001C6543"/>
    <w:rsid w:val="001E3F94"/>
    <w:rsid w:val="001E6EAA"/>
    <w:rsid w:val="00252A6D"/>
    <w:rsid w:val="00262FB0"/>
    <w:rsid w:val="00280700"/>
    <w:rsid w:val="002B1720"/>
    <w:rsid w:val="002E509B"/>
    <w:rsid w:val="002E6072"/>
    <w:rsid w:val="0030157C"/>
    <w:rsid w:val="00303570"/>
    <w:rsid w:val="00310131"/>
    <w:rsid w:val="00311899"/>
    <w:rsid w:val="00312A29"/>
    <w:rsid w:val="00327140"/>
    <w:rsid w:val="0034429F"/>
    <w:rsid w:val="00354DB3"/>
    <w:rsid w:val="003645A6"/>
    <w:rsid w:val="00365E09"/>
    <w:rsid w:val="003801D4"/>
    <w:rsid w:val="003D21E5"/>
    <w:rsid w:val="003D3820"/>
    <w:rsid w:val="003D7D9D"/>
    <w:rsid w:val="003E5162"/>
    <w:rsid w:val="003F2775"/>
    <w:rsid w:val="003F586B"/>
    <w:rsid w:val="00433D7F"/>
    <w:rsid w:val="00471837"/>
    <w:rsid w:val="004930C4"/>
    <w:rsid w:val="00497400"/>
    <w:rsid w:val="005034C9"/>
    <w:rsid w:val="0051203F"/>
    <w:rsid w:val="005149BD"/>
    <w:rsid w:val="00533B77"/>
    <w:rsid w:val="00543043"/>
    <w:rsid w:val="00556712"/>
    <w:rsid w:val="005612C7"/>
    <w:rsid w:val="005A1CE3"/>
    <w:rsid w:val="005A45EA"/>
    <w:rsid w:val="005A5304"/>
    <w:rsid w:val="005A76DB"/>
    <w:rsid w:val="005B2EDE"/>
    <w:rsid w:val="005B715D"/>
    <w:rsid w:val="005E2A9D"/>
    <w:rsid w:val="005E79DD"/>
    <w:rsid w:val="00601D55"/>
    <w:rsid w:val="00622239"/>
    <w:rsid w:val="00622A45"/>
    <w:rsid w:val="00634B19"/>
    <w:rsid w:val="00637B03"/>
    <w:rsid w:val="00677BAE"/>
    <w:rsid w:val="006D7897"/>
    <w:rsid w:val="00715E11"/>
    <w:rsid w:val="0073210F"/>
    <w:rsid w:val="00735CC3"/>
    <w:rsid w:val="007417D4"/>
    <w:rsid w:val="00780DB1"/>
    <w:rsid w:val="0078671F"/>
    <w:rsid w:val="0079257C"/>
    <w:rsid w:val="007F66A2"/>
    <w:rsid w:val="008179D4"/>
    <w:rsid w:val="008252F1"/>
    <w:rsid w:val="0083636B"/>
    <w:rsid w:val="00875EFA"/>
    <w:rsid w:val="00876665"/>
    <w:rsid w:val="00881616"/>
    <w:rsid w:val="00883A42"/>
    <w:rsid w:val="008D754A"/>
    <w:rsid w:val="008E3107"/>
    <w:rsid w:val="008E60A3"/>
    <w:rsid w:val="008F2952"/>
    <w:rsid w:val="0090638A"/>
    <w:rsid w:val="00935932"/>
    <w:rsid w:val="00936033"/>
    <w:rsid w:val="0094128C"/>
    <w:rsid w:val="00950A3A"/>
    <w:rsid w:val="00960C05"/>
    <w:rsid w:val="00987770"/>
    <w:rsid w:val="009A1A58"/>
    <w:rsid w:val="009A1CF0"/>
    <w:rsid w:val="009A4E8E"/>
    <w:rsid w:val="009B16A0"/>
    <w:rsid w:val="009E3F7A"/>
    <w:rsid w:val="00A2495D"/>
    <w:rsid w:val="00A45100"/>
    <w:rsid w:val="00A6069B"/>
    <w:rsid w:val="00A6140E"/>
    <w:rsid w:val="00A70158"/>
    <w:rsid w:val="00A76E4D"/>
    <w:rsid w:val="00A91658"/>
    <w:rsid w:val="00B106C4"/>
    <w:rsid w:val="00B207CC"/>
    <w:rsid w:val="00B559FC"/>
    <w:rsid w:val="00B76CE3"/>
    <w:rsid w:val="00B773C6"/>
    <w:rsid w:val="00C30A4D"/>
    <w:rsid w:val="00C7245A"/>
    <w:rsid w:val="00C763B2"/>
    <w:rsid w:val="00CB34C0"/>
    <w:rsid w:val="00CB52FB"/>
    <w:rsid w:val="00CC0F99"/>
    <w:rsid w:val="00CC0FBD"/>
    <w:rsid w:val="00CC66C6"/>
    <w:rsid w:val="00CD3191"/>
    <w:rsid w:val="00CD682C"/>
    <w:rsid w:val="00D27D8B"/>
    <w:rsid w:val="00D27E50"/>
    <w:rsid w:val="00D3470E"/>
    <w:rsid w:val="00D35BB3"/>
    <w:rsid w:val="00D420A7"/>
    <w:rsid w:val="00D46255"/>
    <w:rsid w:val="00D92D77"/>
    <w:rsid w:val="00DA182C"/>
    <w:rsid w:val="00DA716B"/>
    <w:rsid w:val="00DB2378"/>
    <w:rsid w:val="00E00BCA"/>
    <w:rsid w:val="00E17698"/>
    <w:rsid w:val="00E2752B"/>
    <w:rsid w:val="00E42DE4"/>
    <w:rsid w:val="00E51812"/>
    <w:rsid w:val="00E566F3"/>
    <w:rsid w:val="00E8077F"/>
    <w:rsid w:val="00E964AA"/>
    <w:rsid w:val="00EC746D"/>
    <w:rsid w:val="00EE0233"/>
    <w:rsid w:val="00F23994"/>
    <w:rsid w:val="00F3610B"/>
    <w:rsid w:val="00F45F71"/>
    <w:rsid w:val="00F462EF"/>
    <w:rsid w:val="00F51199"/>
    <w:rsid w:val="00FC3EBF"/>
    <w:rsid w:val="00FF37AF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567A3"/>
  <w15:chartTrackingRefBased/>
  <w15:docId w15:val="{7600B0F0-EBD8-478C-9338-648FC8BA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1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1899"/>
  </w:style>
  <w:style w:type="paragraph" w:styleId="Pieddepage">
    <w:name w:val="footer"/>
    <w:basedOn w:val="Normal"/>
    <w:link w:val="PieddepageCar"/>
    <w:uiPriority w:val="99"/>
    <w:unhideWhenUsed/>
    <w:rsid w:val="00311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1899"/>
  </w:style>
  <w:style w:type="table" w:styleId="Grilledutableau">
    <w:name w:val="Table Grid"/>
    <w:basedOn w:val="TableauNormal"/>
    <w:uiPriority w:val="59"/>
    <w:rsid w:val="00311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637B0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0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C731-25E8-44E6-81D0-5FD00C5C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ANDF</dc:creator>
  <cp:keywords/>
  <dc:description/>
  <cp:lastModifiedBy>Carlos Venance AGBAHOLOU</cp:lastModifiedBy>
  <cp:revision>18</cp:revision>
  <cp:lastPrinted>2024-01-08T09:02:00Z</cp:lastPrinted>
  <dcterms:created xsi:type="dcterms:W3CDTF">2025-08-14T15:14:00Z</dcterms:created>
  <dcterms:modified xsi:type="dcterms:W3CDTF">2025-08-26T09:48:00Z</dcterms:modified>
</cp:coreProperties>
</file>