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21:1 - 2</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1. The king’s heart is like channels of water in the hand of the Lord; He turns it wherever He pleases. 2. Every person’s way is right in his own eyes, But the Lord examines the hearts.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Nothing comes as a surprise to the Lord. There are things in this world that may shock us or may shake us to our core, but it does not shock or shake our Lord. When something may seem like it came out of nowhere and we are left in a state of disbelief the Lord is still in control. He foresaw it, He knew about it and He already has the plan laid out before you to get through it we just have to trust in Him.</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We see in Exodus with Pharaoh and in the Gospels with Pilate that God can harden the hearts of kings. He has done it multiple times, and will continue to do it. This is not to say that those men and women who He hardens their heart are not at fault in any way but the patch work was already laid out. This is confusing for most of us, but in all things we must trust the Lord. He hardened the heart of Pharaoh to show his majesty in all of Egypt and He did the same with Pilate to fulfil His will for Christ dying for each of us.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Lord knows are hearts and minds. He sees both and can understand both. The thing with us humans is just like in verse two most decisions we make at the time seem right to us. The whole world could tell us not to do something but if we see it is the only way we will do it. We have a way of trying to put the cart before the horse so to speak and go about things ourselves instead of truly waiting and trusting in the Lord.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So remember this week to remember that Jesus is still and always in control. I am saying this to not only all of you but myself as well. As always keep all of us here at New Life in your prayers, and keep in your Words as God has not only commanded us to, but it is His words of life that guide us. CMTTP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