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Fourteen</w:t>
      </w:r>
    </w:p>
    <w:p>
      <w:pPr>
        <w:pBdr>
          <w:top w:val="single" w:color="1A3C5E" w:sz="12"/>
          <w:bottom w:val="single" w:color="1A3C5E" w:sz="12"/>
        </w:pBdr>
        <w:spacing w:before="120" w:after="0"/>
        <w:jc w:val="center"/>
      </w:pPr>
      <w:r>
        <w:t xml:space="preserve"> </w:t>
      </w:r>
    </w:p>
    <w:p>
      <w:pPr>
        <w:spacing w:before="160" w:after="40"/>
        <w:jc w:val="center"/>
      </w:pPr>
      <w:r>
        <w:rPr>
          <w:rFonts w:ascii="Arial" w:cs="Arial" w:eastAsia="Arial" w:hAnsi="Arial"/>
          <w:b/>
          <w:bCs/>
          <w:color w:val="1A3C5E"/>
          <w:sz w:val="36"/>
          <w:szCs w:val="36"/>
        </w:rPr>
        <w:t xml:space="preserve">HYMNS, CHORUSES,</w:t>
      </w:r>
    </w:p>
    <w:p>
      <w:pPr>
        <w:spacing w:before="0" w:after="80"/>
        <w:jc w:val="center"/>
      </w:pPr>
      <w:r>
        <w:rPr>
          <w:rFonts w:ascii="Arial" w:cs="Arial" w:eastAsia="Arial" w:hAnsi="Arial"/>
          <w:b/>
          <w:bCs/>
          <w:color w:val="8B1A1A"/>
          <w:sz w:val="36"/>
          <w:szCs w:val="36"/>
        </w:rPr>
        <w:t xml:space="preserve">AND HOLY GROUND</w:t>
      </w:r>
    </w:p>
    <w:p>
      <w:pPr>
        <w:spacing w:before="0" w:after="320"/>
        <w:jc w:val="center"/>
      </w:pPr>
      <w:r>
        <w:rPr>
          <w:rFonts w:ascii="Georgia" w:cs="Georgia" w:eastAsia="Georgia" w:hAnsi="Georgia"/>
          <w:color w:val="555555"/>
          <w:sz w:val="24"/>
          <w:szCs w:val="24"/>
        </w:rPr>
        <w:t xml:space="preserve">A Theology of Worship for Pastors in the Middle of the Debate</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Debate That Cannot Be Won by Argument</w:t>
      </w:r>
    </w:p>
    <w:p>
      <w:pPr>
        <w:spacing w:before="0" w:after="200" w:line="340" w:lineRule="auto"/>
      </w:pPr>
      <w:r>
        <w:rPr>
          <w:rFonts w:ascii="Georgia" w:cs="Georgia" w:eastAsia="Georgia" w:hAnsi="Georgia"/>
          <w:color w:val="1A1A1A"/>
          <w:sz w:val="24"/>
          <w:szCs w:val="24"/>
        </w:rPr>
        <w:t xml:space="preserve">Every worship war in the local church has the same structure. Both sides believe they are right. Both sides have arguments. Both sides have Scripture passages they cite. Both sides have passionate advocates and a genuine sense that what is at stake is not merely personal preference but something theological — something about what it means to truly worship God.</w:t>
      </w:r>
    </w:p>
    <w:p>
      <w:pPr>
        <w:spacing w:before="0" w:after="200" w:line="340" w:lineRule="auto"/>
        <w:ind w:firstLine="440"/>
      </w:pPr>
      <w:r>
        <w:rPr>
          <w:rFonts w:ascii="Georgia" w:cs="Georgia" w:eastAsia="Georgia" w:hAnsi="Georgia"/>
          <w:color w:val="1A1A1A"/>
          <w:sz w:val="24"/>
          <w:szCs w:val="24"/>
        </w:rPr>
        <w:t xml:space="preserve">And neither side wins. Not because both sides are equally right. Not because there is no truth to be found in the question. But because the debate is being conducted at the wrong level. The argument about which worship style is better cannot be resolved by argument, because the criteria for evaluating the argument are themselves contested. The contemporary worship advocate and the traditional hymn defender are not simply disagreeing about music. They are operating from different theologies of what worship is for, what makes it faithful, and what the congregation’s gathering on Sunday morning is fundamentally about.</w:t>
      </w:r>
    </w:p>
    <w:p>
      <w:pPr>
        <w:spacing w:before="0" w:after="200" w:line="340" w:lineRule="auto"/>
        <w:ind w:firstLine="440"/>
      </w:pPr>
      <w:r>
        <w:rPr>
          <w:rFonts w:ascii="Georgia" w:cs="Georgia" w:eastAsia="Georgia" w:hAnsi="Georgia"/>
          <w:color w:val="1A1A1A"/>
          <w:sz w:val="24"/>
          <w:szCs w:val="24"/>
        </w:rPr>
        <w:t xml:space="preserve">Until those theological foundations are engaged, no amount of stylistic debate will produce resolution. The worship war that is fought at the level of preference will be fought indefinitely. The worship conversation that is conducted at the level of theology has the possibility of producing something more durable: a shared understanding of what worship is that can guide the congregation’s practice across multiple stylistic seasons.</w:t>
      </w:r>
    </w:p>
    <w:p>
      <w:pPr>
        <w:spacing w:before="0" w:after="200" w:line="340" w:lineRule="auto"/>
        <w:ind w:firstLine="440"/>
      </w:pPr>
      <w:r>
        <w:rPr>
          <w:rFonts w:ascii="Georgia" w:cs="Georgia" w:eastAsia="Georgia" w:hAnsi="Georgia"/>
          <w:color w:val="1A1A1A"/>
          <w:sz w:val="24"/>
          <w:szCs w:val="24"/>
        </w:rPr>
        <w:t xml:space="preserve">This book is that theological conversation. It steps behind the style debate to examine what Scripture actually says about corporate worship — its purpose, its elements, its relationship to culture, and its standards of faithfulness. It offers not a single style verdict but a theological framework that is robust enough to guide worship decisions regardless of the specific cultural moment a congregation inhabits.</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God is spirit, and those who worship him must worship in spirit and truth.</w:t>
      </w:r>
      <w:r>
        <w:rPr>
          <w:rFonts w:ascii="Georgia" w:cs="Georgia" w:eastAsia="Georgia" w:hAnsi="Georgia"/>
          <w:color w:val="888888"/>
          <w:sz w:val="21"/>
          <w:szCs w:val="21"/>
        </w:rPr>
        <w:t xml:space="preserve">  — John 4:24</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What Is Corporate Worship For?</w:t>
      </w:r>
    </w:p>
    <w:p>
      <w:pPr>
        <w:pBdr>
          <w:bottom w:val="single" w:color="B8862A" w:sz="6"/>
        </w:pBdr>
        <w:spacing w:before="0" w:after="480"/>
        <w:jc w:val="center"/>
      </w:pPr>
      <w:r>
        <w:rPr>
          <w:rFonts w:ascii="Georgia" w:cs="Georgia" w:eastAsia="Georgia" w:hAnsi="Georgia"/>
          <w:color w:val="555555"/>
          <w:sz w:val="22"/>
          <w:szCs w:val="22"/>
        </w:rPr>
        <w:t xml:space="preserve">Recovering the purpose before debating the form</w:t>
      </w:r>
    </w:p>
    <w:p>
      <w:pPr>
        <w:spacing w:before="0" w:after="200" w:line="340" w:lineRule="auto"/>
      </w:pPr>
      <w:r>
        <w:rPr>
          <w:rFonts w:ascii="Georgia" w:cs="Georgia" w:eastAsia="Georgia" w:hAnsi="Georgia"/>
          <w:color w:val="1A1A1A"/>
          <w:sz w:val="24"/>
          <w:szCs w:val="24"/>
        </w:rPr>
        <w:t xml:space="preserve">The most foundational question in any worship conversation is the one that is least often asked directly: what is corporate worship actually for? Not which style best achieves the purpose, not what elements are required, but the purpose itself. What is the Christian community doing when it gathers on Sunday morning?</w:t>
      </w:r>
    </w:p>
    <w:p>
      <w:pPr>
        <w:spacing w:before="0" w:after="200" w:line="340" w:lineRule="auto"/>
        <w:ind w:firstLine="440"/>
      </w:pPr>
      <w:r>
        <w:rPr>
          <w:rFonts w:ascii="Georgia" w:cs="Georgia" w:eastAsia="Georgia" w:hAnsi="Georgia"/>
          <w:color w:val="1A1A1A"/>
          <w:sz w:val="24"/>
          <w:szCs w:val="24"/>
        </w:rPr>
        <w:t xml:space="preserve">The answer to this question is not as self-evident as it might appear. The evangelical church culture has produced several competing intuitions about what the Sunday gathering is primarily for, and the confusion between these intuitions is the source of most worship debates.</w:t>
      </w:r>
    </w:p>
    <w:p>
      <w:pPr>
        <w:pStyle w:val="Heading2"/>
      </w:pPr>
      <w:r>
        <w:rPr>
          <w:rFonts w:ascii="Arial" w:cs="Arial" w:eastAsia="Arial" w:hAnsi="Arial"/>
          <w:b/>
          <w:bCs/>
          <w:color w:val="1A6B6E"/>
          <w:sz w:val="28"/>
          <w:szCs w:val="28"/>
        </w:rPr>
        <w:t xml:space="preserve">The Four Competing Intuitions</w:t>
      </w:r>
    </w:p>
    <w:p>
      <w:pPr>
        <w:spacing w:before="0" w:after="200" w:line="340" w:lineRule="auto"/>
        <w:ind w:firstLine="440"/>
      </w:pPr>
      <w:r>
        <w:rPr>
          <w:rFonts w:ascii="Georgia" w:cs="Georgia" w:eastAsia="Georgia" w:hAnsi="Georgia"/>
          <w:color w:val="1A1A1A"/>
          <w:sz w:val="24"/>
          <w:szCs w:val="24"/>
        </w:rPr>
        <w:t xml:space="preserve">The evangelism intuition holds that the Sunday gathering is primarily an outreach event — its primary purpose is to create an accessible, appealing context in which unchurched people can hear the gospel and respond. This intuition drives the seeker-sensitive movement’s emphasis on removing obstacles to attendance and designing services that are culturally intelligible to people with no Christian background.</w:t>
      </w:r>
    </w:p>
    <w:p>
      <w:pPr>
        <w:spacing w:before="0" w:after="200" w:line="340" w:lineRule="auto"/>
        <w:ind w:firstLine="440"/>
      </w:pPr>
      <w:r>
        <w:rPr>
          <w:rFonts w:ascii="Georgia" w:cs="Georgia" w:eastAsia="Georgia" w:hAnsi="Georgia"/>
          <w:color w:val="1A1A1A"/>
          <w:sz w:val="24"/>
          <w:szCs w:val="24"/>
        </w:rPr>
        <w:t xml:space="preserve">The formation intuition holds that the Sunday gathering is primarily a discipleship event — its primary purpose is the formation of the gathered community in the character and convictions of Christ. This intuition drives the liturgical movement’s emphasis on the practices of corporate prayer, the reading of Scripture, the regular celebration of the Lord’s Supper, and the pattern of gathered worship that shapes the community over time.</w:t>
      </w:r>
    </w:p>
    <w:p>
      <w:pPr>
        <w:spacing w:before="0" w:after="200" w:line="340" w:lineRule="auto"/>
        <w:ind w:firstLine="440"/>
      </w:pPr>
      <w:r>
        <w:rPr>
          <w:rFonts w:ascii="Georgia" w:cs="Georgia" w:eastAsia="Georgia" w:hAnsi="Georgia"/>
          <w:color w:val="1A1A1A"/>
          <w:sz w:val="24"/>
          <w:szCs w:val="24"/>
        </w:rPr>
        <w:t xml:space="preserve">The encounter intuition holds that the Sunday gathering is primarily a God-encounter event — its primary purpose is to create conditions for genuine, transforming encounter with the living God. This intuition drives the charismatic and Pentecostal movements’ emphasis on open, Spirit-led worship and the expectation of God’s immediate, experiential presence in the gathered community.</w:t>
      </w:r>
    </w:p>
    <w:p>
      <w:pPr>
        <w:spacing w:before="0" w:after="200" w:line="340" w:lineRule="auto"/>
        <w:ind w:firstLine="440"/>
      </w:pPr>
      <w:r>
        <w:rPr>
          <w:rFonts w:ascii="Georgia" w:cs="Georgia" w:eastAsia="Georgia" w:hAnsi="Georgia"/>
          <w:color w:val="1A1A1A"/>
          <w:sz w:val="24"/>
          <w:szCs w:val="24"/>
        </w:rPr>
        <w:t xml:space="preserve">The proclamation intuition holds that the Sunday gathering is primarily a preaching event — its primary purpose is the faithful proclamation of the Word of God to those who need to receive it. This intuition drives the Reformed tradition’s emphasis on the centrality of expository preaching and the subordination of every other element of the service to the ministry of the Word.</w:t>
      </w:r>
    </w:p>
    <w:p>
      <w:pPr>
        <w:spacing w:before="0" w:after="200" w:line="340" w:lineRule="auto"/>
        <w:ind w:firstLine="440"/>
      </w:pPr>
      <w:r>
        <w:rPr>
          <w:rFonts w:ascii="Georgia" w:cs="Georgia" w:eastAsia="Georgia" w:hAnsi="Georgia"/>
          <w:color w:val="1A1A1A"/>
          <w:sz w:val="24"/>
          <w:szCs w:val="24"/>
        </w:rPr>
        <w:t xml:space="preserve">Each of these intuitions has genuine biblical support. None of them is simply wrong. And the worship debates that most congregations experience are, at root, debates between advocates of different intuitions about the primary purpose of the gathering — a debate that cannot be resolved until the intuitions themselves are brought to the surface and examined theologically.</w:t>
      </w:r>
    </w:p>
    <w:p>
      <w:pPr>
        <w:pStyle w:val="Heading2"/>
      </w:pPr>
      <w:r>
        <w:rPr>
          <w:rFonts w:ascii="Arial" w:cs="Arial" w:eastAsia="Arial" w:hAnsi="Arial"/>
          <w:b/>
          <w:bCs/>
          <w:color w:val="1A6B6E"/>
          <w:sz w:val="28"/>
          <w:szCs w:val="28"/>
        </w:rPr>
        <w:t xml:space="preserve">A More Integrative Biblical Picture</w:t>
      </w:r>
    </w:p>
    <w:p>
      <w:pPr>
        <w:spacing w:before="0" w:after="200" w:line="340" w:lineRule="auto"/>
        <w:ind w:firstLine="440"/>
      </w:pPr>
      <w:r>
        <w:rPr>
          <w:rFonts w:ascii="Georgia" w:cs="Georgia" w:eastAsia="Georgia" w:hAnsi="Georgia"/>
          <w:color w:val="1A1A1A"/>
          <w:sz w:val="24"/>
          <w:szCs w:val="24"/>
        </w:rPr>
        <w:t xml:space="preserve">The New Testament does not provide a single sentence that defines the purpose of corporate worship. But the cumulative picture of the gathered community in the New Testament presents a worship life that is simultaneously oriented toward God, toward the community’s own formation, and toward the world outside. These are not competing purposes. They are different dimensions of the same fundamental act.</w:t>
      </w:r>
    </w:p>
    <w:p>
      <w:pPr>
        <w:spacing w:before="0" w:after="200" w:line="340" w:lineRule="auto"/>
        <w:ind w:firstLine="440"/>
      </w:pPr>
      <w:r>
        <w:rPr>
          <w:rFonts w:ascii="Georgia" w:cs="Georgia" w:eastAsia="Georgia" w:hAnsi="Georgia"/>
          <w:color w:val="1A1A1A"/>
          <w:sz w:val="24"/>
          <w:szCs w:val="24"/>
        </w:rPr>
        <w:t xml:space="preserve">Corporate worship is, at its center, the gathered community’s response to the God who has called them together. It is the declaration, in word and song and sacrament, of who God is and what he has done in Christ. It is the encounter, made possible by the Spirit, between the living God and the people he has redeemed. It is the formation of the community’s identity and values through the practices of Scripture reading, teaching, prayer, and song. And it is the visible demonstration, to the community’s own members and to any outsider present, of what a people transformed by the gospel looks like.</w:t>
      </w:r>
    </w:p>
    <w:p>
      <w:pPr>
        <w:pBdr>
          <w:top w:val="single" w:color="1A6B6E" w:sz="6"/>
          <w:bottom w:val="single" w:color="1A6B6E" w:sz="6"/>
        </w:pBdr>
        <w:shd w:fill="EDF7F7" w:val="clear"/>
        <w:spacing w:before="360" w:after="360"/>
        <w:ind w:left="360" w:right="360"/>
        <w:jc w:val="center"/>
      </w:pPr>
      <w:r>
        <w:rPr>
          <w:rFonts w:ascii="Georgia" w:cs="Georgia" w:eastAsia="Georgia" w:hAnsi="Georgia"/>
          <w:b/>
          <w:bCs/>
          <w:color w:val="1A3C5E"/>
          <w:sz w:val="25"/>
          <w:szCs w:val="25"/>
        </w:rPr>
        <w:t xml:space="preserve">Worship is not primarily what we do for God or what we do for ourselves. It is what God does in us when we gather around him honestly, attentively, and together.</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four intuitions about the purpose of the Sunday gathering is most dominant in your current congregation? How does it shape the worship decisions being made?</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own theology of corporate worship? Can you articulate it clearly enough to serve as the framework for evaluating specific worship decisions?</w:t>
      </w:r>
    </w:p>
    <w:p>
      <w:pPr>
        <w:pStyle w:val="ListParagraph"/>
        <w:numPr>
          <w:ilvl w:val="0"/>
          <w:numId w:val="2"/>
        </w:numPr>
        <w:spacing w:before="80" w:after="80"/>
        <w:ind w:left="360"/>
      </w:pPr>
      <w:r>
        <w:rPr>
          <w:rFonts w:ascii="Georgia" w:cs="Georgia" w:eastAsia="Georgia" w:hAnsi="Georgia"/>
          <w:color w:val="333333"/>
          <w:sz w:val="22"/>
          <w:szCs w:val="22"/>
        </w:rPr>
        <w:t xml:space="preserve">What would change in your Sunday morning service if the primary evaluation criterion was ‘Is the gathered community genuinely encountering God?’ rather than a stylistic preference?</w:t>
      </w:r>
    </w:p>
    <w:p>
      <w:pPr>
        <w:pStyle w:val="ListParagraph"/>
        <w:numPr>
          <w:ilvl w:val="0"/>
          <w:numId w:val="2"/>
        </w:numPr>
        <w:spacing w:before="80" w:after="80"/>
        <w:ind w:left="360"/>
      </w:pPr>
      <w:r>
        <w:rPr>
          <w:rFonts w:ascii="Georgia" w:cs="Georgia" w:eastAsia="Georgia" w:hAnsi="Georgia"/>
          <w:color w:val="333333"/>
          <w:sz w:val="22"/>
          <w:szCs w:val="22"/>
        </w:rPr>
        <w:t xml:space="preserve">How do you hold together the different biblical purposes of corporate worship in your planning and evaluation?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What Must Remain Constant and What May Change</w:t>
      </w:r>
    </w:p>
    <w:p>
      <w:pPr>
        <w:pBdr>
          <w:bottom w:val="single" w:color="B8862A" w:sz="6"/>
        </w:pBdr>
        <w:spacing w:before="0" w:after="480"/>
        <w:jc w:val="center"/>
      </w:pPr>
      <w:r>
        <w:rPr>
          <w:rFonts w:ascii="Georgia" w:cs="Georgia" w:eastAsia="Georgia" w:hAnsi="Georgia"/>
          <w:color w:val="555555"/>
          <w:sz w:val="22"/>
          <w:szCs w:val="22"/>
        </w:rPr>
        <w:t xml:space="preserve">Content versus form in the theology of worship</w:t>
      </w:r>
    </w:p>
    <w:p>
      <w:pPr>
        <w:spacing w:before="0" w:after="200" w:line="340" w:lineRule="auto"/>
      </w:pPr>
      <w:r>
        <w:rPr>
          <w:rFonts w:ascii="Georgia" w:cs="Georgia" w:eastAsia="Georgia" w:hAnsi="Georgia"/>
          <w:color w:val="1A1A1A"/>
          <w:sz w:val="24"/>
          <w:szCs w:val="24"/>
        </w:rPr>
        <w:t xml:space="preserve">The central distinction in any theology of worship is the distinction between content and form. Content is what worship communicates — the theological substance of what is sung, prayed, read, and proclaimed. Form is how worship communicates — the cultural, musical, and aesthetic vehicle through which the content is expressed.</w:t>
      </w:r>
    </w:p>
    <w:p>
      <w:pPr>
        <w:spacing w:before="0" w:after="200" w:line="340" w:lineRule="auto"/>
        <w:ind w:firstLine="440"/>
      </w:pPr>
      <w:r>
        <w:rPr>
          <w:rFonts w:ascii="Georgia" w:cs="Georgia" w:eastAsia="Georgia" w:hAnsi="Georgia"/>
          <w:color w:val="1A1A1A"/>
          <w:sz w:val="24"/>
          <w:szCs w:val="24"/>
        </w:rPr>
        <w:t xml:space="preserve">This distinction is not original or controversial in its principle. The church has always recognized that its worship must be adapted to the cultural contexts it inhabits in order to be accessible and genuine, while maintaining the theological content that defines it as Christian worship. What is original is the specific application of the distinction to the specific cultural moment and the specific congregation in question.</w:t>
      </w:r>
    </w:p>
    <w:p>
      <w:pPr>
        <w:pStyle w:val="Heading2"/>
      </w:pPr>
      <w:r>
        <w:rPr>
          <w:rFonts w:ascii="Arial" w:cs="Arial" w:eastAsia="Arial" w:hAnsi="Arial"/>
          <w:b/>
          <w:bCs/>
          <w:color w:val="1A6B6E"/>
          <w:sz w:val="28"/>
          <w:szCs w:val="28"/>
        </w:rPr>
        <w:t xml:space="preserve">The Non-Negotiable Content</w:t>
      </w:r>
    </w:p>
    <w:p>
      <w:pPr>
        <w:spacing w:before="0" w:after="200" w:line="340" w:lineRule="auto"/>
        <w:ind w:firstLine="440"/>
      </w:pPr>
      <w:r>
        <w:rPr>
          <w:rFonts w:ascii="Georgia" w:cs="Georgia" w:eastAsia="Georgia" w:hAnsi="Georgia"/>
          <w:color w:val="1A1A1A"/>
          <w:sz w:val="24"/>
          <w:szCs w:val="24"/>
        </w:rPr>
        <w:t xml:space="preserve">The content of Christian worship that is non-negotiable across all cultural adaptations includes, at minimum, the following. The proclamation of the gospel — the news of what God has done in Christ for sinners — in whatever form the community’s gathered proclamation takes. The reading and teaching of Scripture, through which the community’s understanding of God and themselves is formed. Corporate prayer, in which the community brings its needs, its confession, its thanksgiving, and its intercession before God. Singing, through which the community’s theology is expressed in a form that engages the whole person and builds communal identity. And the ordinances of baptism and the Lord’s Supper, through which the gospel is regularly enacted in physical, embodied form.</w:t>
      </w:r>
    </w:p>
    <w:p>
      <w:pPr>
        <w:spacing w:before="0" w:after="200" w:line="340" w:lineRule="auto"/>
        <w:ind w:firstLine="440"/>
      </w:pPr>
      <w:r>
        <w:rPr>
          <w:rFonts w:ascii="Georgia" w:cs="Georgia" w:eastAsia="Georgia" w:hAnsi="Georgia"/>
          <w:color w:val="1A1A1A"/>
          <w:sz w:val="24"/>
          <w:szCs w:val="24"/>
        </w:rPr>
        <w:t xml:space="preserve">These elements are not negotiable because they are not cultural preferences. They are the practices that define what Christian worship is, that connect any local expression of worship to the two-thousand-year tradition of the universal church, and that ensure that what happens on Sunday morning is genuinely Christian rather than merely cultural.</w:t>
      </w:r>
    </w:p>
    <w:p>
      <w:pPr>
        <w:pStyle w:val="Heading2"/>
      </w:pPr>
      <w:r>
        <w:rPr>
          <w:rFonts w:ascii="Arial" w:cs="Arial" w:eastAsia="Arial" w:hAnsi="Arial"/>
          <w:b/>
          <w:bCs/>
          <w:color w:val="1A6B6E"/>
          <w:sz w:val="28"/>
          <w:szCs w:val="28"/>
        </w:rPr>
        <w:t xml:space="preserve">The Contextual Form</w:t>
      </w:r>
    </w:p>
    <w:p>
      <w:pPr>
        <w:spacing w:before="0" w:after="200" w:line="340" w:lineRule="auto"/>
        <w:ind w:firstLine="440"/>
      </w:pPr>
      <w:r>
        <w:rPr>
          <w:rFonts w:ascii="Georgia" w:cs="Georgia" w:eastAsia="Georgia" w:hAnsi="Georgia"/>
          <w:color w:val="1A1A1A"/>
          <w:sz w:val="24"/>
          <w:szCs w:val="24"/>
        </w:rPr>
        <w:t xml:space="preserve">Everything beyond these elements is contextual — properly shaped by the cultural context, the community’s character, and the pastoral judgment of the leaders about what best serves the purpose of genuine worship in this specific place and time. The specific songs used. The instrumentation. The order of service. The length of the gathering. The degree of formality. The aesthetic environment. These are not unimportant. They are genuinely significant to the quality of the worship experience. But they are contextual rather than essential, and they are therefore properly subject to adaptation.</w:t>
      </w:r>
    </w:p>
    <w:p>
      <w:pPr>
        <w:spacing w:before="0" w:after="200" w:line="340" w:lineRule="auto"/>
        <w:ind w:firstLine="440"/>
      </w:pPr>
      <w:r>
        <w:rPr>
          <w:rFonts w:ascii="Georgia" w:cs="Georgia" w:eastAsia="Georgia" w:hAnsi="Georgia"/>
          <w:color w:val="1A1A1A"/>
          <w:sz w:val="24"/>
          <w:szCs w:val="24"/>
        </w:rPr>
        <w:t xml:space="preserve">The most common error in worship debates is the treatment of contextual preferences as if they were essential content. The person who insists that the organ is a theological requirement rather than a cultural preference has confused form and content. The person who insists that contemporary worship is more authentic than traditional worship has made the same confusion in the other direction. Both are defending a form as if it were content — and both can be helped by a theology that distinguishes between the two.</w:t>
      </w:r>
    </w:p>
    <w:p>
      <w:pPr>
        <w:pStyle w:val="Heading2"/>
      </w:pPr>
      <w:r>
        <w:rPr>
          <w:rFonts w:ascii="Arial" w:cs="Arial" w:eastAsia="Arial" w:hAnsi="Arial"/>
          <w:b/>
          <w:bCs/>
          <w:color w:val="1A6B6E"/>
          <w:sz w:val="28"/>
          <w:szCs w:val="28"/>
        </w:rPr>
        <w:t xml:space="preserve">Evaluating Songs: A Theological Checklist</w:t>
      </w:r>
    </w:p>
    <w:p>
      <w:pPr>
        <w:spacing w:before="0" w:after="200" w:line="340" w:lineRule="auto"/>
        <w:ind w:firstLine="440"/>
      </w:pPr>
      <w:r>
        <w:rPr>
          <w:rFonts w:ascii="Georgia" w:cs="Georgia" w:eastAsia="Georgia" w:hAnsi="Georgia"/>
          <w:color w:val="1A1A1A"/>
          <w:sz w:val="24"/>
          <w:szCs w:val="24"/>
        </w:rPr>
        <w:t xml:space="preserve">The content versus form distinction produces a specific approach to the evaluation of worship music. The question is not primarily “Is this song traditional or contemporary?” or “Does this song appeal to younger or older members?” The question is “Does this song communicate the content that Christian worship is designed to communicate, and does it do so in a form that this congregation can genuinely sing and mean?”</w:t>
      </w:r>
    </w:p>
    <w:p>
      <w:pPr>
        <w:spacing w:before="0" w:after="200" w:line="340" w:lineRule="auto"/>
        <w:ind w:firstLine="440"/>
      </w:pPr>
      <w:r>
        <w:rPr>
          <w:rFonts w:ascii="Georgia" w:cs="Georgia" w:eastAsia="Georgia" w:hAnsi="Georgia"/>
          <w:color w:val="1A1A1A"/>
          <w:sz w:val="24"/>
          <w:szCs w:val="24"/>
        </w:rPr>
        <w:t xml:space="preserve">The theological checklist for a worship song includes: Is it doctrinally accurate? Does it represent God, salvation, the human condition, and the Christian life truthfully? Is it scriptural — does it reflect and reinforce biblical thinking rather than cultural sentiment dressed in religious language? Is it singable by ordinary people who are not primarily musicians? Does it engage the heart as well as the head — does it give the congregation language for genuine emotional and spiritual engagement rather than merely stating correct propositions? And does it serve the community’s ability to worship together, or does it primarily serve the worship leader’s personal expression?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non-negotiable content elements in your congregation’s worship? Are they consistently present, or have any of them been crowded out by other priorities?</w:t>
      </w:r>
    </w:p>
    <w:p>
      <w:pPr>
        <w:pStyle w:val="ListParagraph"/>
        <w:numPr>
          <w:ilvl w:val="0"/>
          <w:numId w:val="2"/>
        </w:numPr>
        <w:spacing w:before="80" w:after="80"/>
        <w:ind w:left="360"/>
      </w:pPr>
      <w:r>
        <w:rPr>
          <w:rFonts w:ascii="Georgia" w:cs="Georgia" w:eastAsia="Georgia" w:hAnsi="Georgia"/>
          <w:color w:val="333333"/>
          <w:sz w:val="22"/>
          <w:szCs w:val="22"/>
        </w:rPr>
        <w:t xml:space="preserve">What contextual elements in your congregation’s worship have been treated as if they were essential content? What would it look like to apply the distinction honestly?</w:t>
      </w:r>
    </w:p>
    <w:p>
      <w:pPr>
        <w:pStyle w:val="ListParagraph"/>
        <w:numPr>
          <w:ilvl w:val="0"/>
          <w:numId w:val="2"/>
        </w:numPr>
        <w:spacing w:before="80" w:after="80"/>
        <w:ind w:left="360"/>
      </w:pPr>
      <w:r>
        <w:rPr>
          <w:rFonts w:ascii="Georgia" w:cs="Georgia" w:eastAsia="Georgia" w:hAnsi="Georgia"/>
          <w:color w:val="333333"/>
          <w:sz w:val="22"/>
          <w:szCs w:val="22"/>
        </w:rPr>
        <w:t xml:space="preserve">Apply the theological song checklist to three songs in your current worship rotation. What do you find?</w:t>
      </w:r>
    </w:p>
    <w:p>
      <w:pPr>
        <w:pStyle w:val="ListParagraph"/>
        <w:numPr>
          <w:ilvl w:val="0"/>
          <w:numId w:val="2"/>
        </w:numPr>
        <w:spacing w:before="80" w:after="80"/>
        <w:ind w:left="360"/>
      </w:pPr>
      <w:r>
        <w:rPr>
          <w:rFonts w:ascii="Georgia" w:cs="Georgia" w:eastAsia="Georgia" w:hAnsi="Georgia"/>
          <w:color w:val="333333"/>
          <w:sz w:val="22"/>
          <w:szCs w:val="22"/>
        </w:rPr>
        <w:t xml:space="preserve">How do you help your congregation understand the content versus form distinction in a way that changes how they evaluate worship rather than simply winning an argument with them?</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A Short History of Worship Wars</w:t>
      </w:r>
    </w:p>
    <w:p>
      <w:pPr>
        <w:pBdr>
          <w:bottom w:val="single" w:color="B8862A" w:sz="6"/>
        </w:pBdr>
        <w:spacing w:before="0" w:after="480"/>
        <w:jc w:val="center"/>
      </w:pPr>
      <w:r>
        <w:rPr>
          <w:rFonts w:ascii="Georgia" w:cs="Georgia" w:eastAsia="Georgia" w:hAnsi="Georgia"/>
          <w:color w:val="555555"/>
          <w:sz w:val="22"/>
          <w:szCs w:val="22"/>
        </w:rPr>
        <w:t xml:space="preserve">Why every generation has had this fight and what it teaches us</w:t>
      </w:r>
    </w:p>
    <w:p>
      <w:pPr>
        <w:spacing w:before="0" w:after="200" w:line="340" w:lineRule="auto"/>
      </w:pPr>
      <w:r>
        <w:rPr>
          <w:rFonts w:ascii="Georgia" w:cs="Georgia" w:eastAsia="Georgia" w:hAnsi="Georgia"/>
          <w:color w:val="1A1A1A"/>
          <w:sz w:val="24"/>
          <w:szCs w:val="24"/>
        </w:rPr>
        <w:t xml:space="preserve">The contemporary worship war is not the first. It is not even particularly dramatic by historical standards. The history of Christian worship is a history of recurring conflict between those who believe the established forms are theologically essential and those who believe the forms must be adapted to the current cultural moment. And the history is instructive — both because it relativizes the current conflict and because it reveals the consistent pattern of how these conflicts eventually resolve.</w:t>
      </w:r>
    </w:p>
    <w:p>
      <w:pPr>
        <w:pStyle w:val="Heading2"/>
      </w:pPr>
      <w:r>
        <w:rPr>
          <w:rFonts w:ascii="Arial" w:cs="Arial" w:eastAsia="Arial" w:hAnsi="Arial"/>
          <w:b/>
          <w:bCs/>
          <w:color w:val="1A6B6E"/>
          <w:sz w:val="28"/>
          <w:szCs w:val="28"/>
        </w:rPr>
        <w:t xml:space="preserve">The Pattern That Repeats</w:t>
      </w:r>
    </w:p>
    <w:p>
      <w:pPr>
        <w:spacing w:before="0" w:after="200" w:line="340" w:lineRule="auto"/>
        <w:ind w:firstLine="440"/>
      </w:pPr>
      <w:r>
        <w:rPr>
          <w:rFonts w:ascii="Georgia" w:cs="Georgia" w:eastAsia="Georgia" w:hAnsi="Georgia"/>
          <w:color w:val="1A1A1A"/>
          <w:sz w:val="24"/>
          <w:szCs w:val="24"/>
        </w:rPr>
        <w:t xml:space="preserve">The pattern that repeats across the history of worship reform is specific enough to be stated clearly. A new cultural moment creates new musical forms that a younger generation finds spiritually authentic and an older generation finds theologically threatening. The new forms are gradually adopted by a portion of the church, usually over the significant objection of those committed to the established practice. Over time, the new forms become the established practice. And then a new generation comes along and finds those now-established forms as spiritually lifeless as the previous generation found the ones they replaced.</w:t>
      </w:r>
    </w:p>
    <w:p>
      <w:pPr>
        <w:spacing w:before="0" w:after="200" w:line="340" w:lineRule="auto"/>
        <w:ind w:firstLine="440"/>
      </w:pPr>
      <w:r>
        <w:rPr>
          <w:rFonts w:ascii="Georgia" w:cs="Georgia" w:eastAsia="Georgia" w:hAnsi="Georgia"/>
          <w:color w:val="1A1A1A"/>
          <w:sz w:val="24"/>
          <w:szCs w:val="24"/>
        </w:rPr>
        <w:t xml:space="preserve">The organ was once the controversial instrument. The generation that received its introduction into the sanctuary was deeply concerned about its worldly associations and its capacity for emotional manipulation. Today the organ is the symbol of traditional, reverent worship that contemporary styles are threatening. The cycle is complete.</w:t>
      </w:r>
    </w:p>
    <w:p>
      <w:pPr>
        <w:spacing w:before="0" w:after="200" w:line="340" w:lineRule="auto"/>
        <w:ind w:firstLine="440"/>
      </w:pPr>
      <w:r>
        <w:rPr>
          <w:rFonts w:ascii="Georgia" w:cs="Georgia" w:eastAsia="Georgia" w:hAnsi="Georgia"/>
          <w:color w:val="1A1A1A"/>
          <w:sz w:val="24"/>
          <w:szCs w:val="24"/>
        </w:rPr>
        <w:t xml:space="preserve">The hymns of Isaac Watts and Charles Wesley were considered dangerously subjective and inappropriately emotional by the churches of their day, which insisted on the exclusive singing of the Psalms. Today the hymns of Watts and Wesley are the gold standard of doctrinally rich worship that contemporary praise songs are failing to maintain. The cycle has turned again.</w:t>
      </w:r>
    </w:p>
    <w:p>
      <w:pPr>
        <w:pStyle w:val="Heading2"/>
      </w:pPr>
      <w:r>
        <w:rPr>
          <w:rFonts w:ascii="Arial" w:cs="Arial" w:eastAsia="Arial" w:hAnsi="Arial"/>
          <w:b/>
          <w:bCs/>
          <w:color w:val="1A6B6E"/>
          <w:sz w:val="28"/>
          <w:szCs w:val="28"/>
        </w:rPr>
        <w:t xml:space="preserve">What History Teaches</w:t>
      </w:r>
    </w:p>
    <w:p>
      <w:pPr>
        <w:spacing w:before="0" w:after="200" w:line="340" w:lineRule="auto"/>
        <w:ind w:firstLine="440"/>
      </w:pPr>
      <w:r>
        <w:rPr>
          <w:rFonts w:ascii="Georgia" w:cs="Georgia" w:eastAsia="Georgia" w:hAnsi="Georgia"/>
          <w:color w:val="1A1A1A"/>
          <w:sz w:val="24"/>
          <w:szCs w:val="24"/>
        </w:rPr>
        <w:t xml:space="preserve">The history of worship wars teaches several things that are directly applicable to the contemporary pastor navigating a worship transition.</w:t>
      </w:r>
    </w:p>
    <w:p>
      <w:pPr>
        <w:spacing w:before="0" w:after="200" w:line="340" w:lineRule="auto"/>
        <w:ind w:firstLine="440"/>
      </w:pPr>
      <w:r>
        <w:rPr>
          <w:rFonts w:ascii="Georgia" w:cs="Georgia" w:eastAsia="Georgia" w:hAnsi="Georgia"/>
          <w:color w:val="1A1A1A"/>
          <w:sz w:val="24"/>
          <w:szCs w:val="24"/>
        </w:rPr>
        <w:t xml:space="preserve">It teaches humility. The worship style that feels theologically essential today is, with high probability, the worship style that will feel culturally dated in fifty years. The conviction that the current established practice is uniquely faithful and that the proposed change is uniquely threatening has been held, with equal passion, by every generation that has resisted worship reform. And every generation that held it was, in retrospect, partially right and significantly wrong.</w:t>
      </w:r>
    </w:p>
    <w:p>
      <w:pPr>
        <w:spacing w:before="0" w:after="200" w:line="340" w:lineRule="auto"/>
        <w:ind w:firstLine="440"/>
      </w:pPr>
      <w:r>
        <w:rPr>
          <w:rFonts w:ascii="Georgia" w:cs="Georgia" w:eastAsia="Georgia" w:hAnsi="Georgia"/>
          <w:color w:val="1A1A1A"/>
          <w:sz w:val="24"/>
          <w:szCs w:val="24"/>
        </w:rPr>
        <w:t xml:space="preserve">It teaches that the content survives the form. The church has maintained its essential theological content through an extraordinary range of cultural forms across two thousand years. The gospel has been proclaimed in chant, in plainsong, in the ballads of the Reformation, in the hymns of the revival, in the choruses of the charismatic movement, and in the worship albums of the contemporary era. The content has proven durable across every formal change. This is not an argument for indifference to form — the form matters. But it is an argument against despair about the content’s survival when the form changes.</w:t>
      </w:r>
    </w:p>
    <w:p>
      <w:pPr>
        <w:spacing w:before="0" w:after="200" w:line="340" w:lineRule="auto"/>
        <w:ind w:firstLine="440"/>
      </w:pPr>
      <w:r>
        <w:rPr>
          <w:rFonts w:ascii="Georgia" w:cs="Georgia" w:eastAsia="Georgia" w:hAnsi="Georgia"/>
          <w:color w:val="1A1A1A"/>
          <w:sz w:val="24"/>
          <w:szCs w:val="24"/>
        </w:rPr>
        <w:t xml:space="preserve">And it teaches that the conflicts are always ultimately about something other than the music. The congregation that went to war over the organ was not really fighting about the organ. It was fighting about change, about authority, about who defines the community’s identity. The congregation that is fighting about contemporary worship today is fighting about the same things. The pastor who understands this will address those deeper concerns pastorally rather than winning the musical argument and losing the community.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did you learn from reading the history of worship wars that changes how you think about your current worship situation?</w:t>
      </w:r>
    </w:p>
    <w:p>
      <w:pPr>
        <w:pStyle w:val="ListParagraph"/>
        <w:numPr>
          <w:ilvl w:val="0"/>
          <w:numId w:val="2"/>
        </w:numPr>
        <w:spacing w:before="80" w:after="80"/>
        <w:ind w:left="360"/>
      </w:pPr>
      <w:r>
        <w:rPr>
          <w:rFonts w:ascii="Georgia" w:cs="Georgia" w:eastAsia="Georgia" w:hAnsi="Georgia"/>
          <w:color w:val="333333"/>
          <w:sz w:val="22"/>
          <w:szCs w:val="22"/>
        </w:rPr>
        <w:t xml:space="preserve">Which historical reform are you most analogous to in your current worship context — the reformer or the defender of tradition? What does that analogy reveal about your situation?</w:t>
      </w:r>
    </w:p>
    <w:p>
      <w:pPr>
        <w:pStyle w:val="ListParagraph"/>
        <w:numPr>
          <w:ilvl w:val="0"/>
          <w:numId w:val="2"/>
        </w:numPr>
        <w:spacing w:before="80" w:after="80"/>
        <w:ind w:left="360"/>
      </w:pPr>
      <w:r>
        <w:rPr>
          <w:rFonts w:ascii="Georgia" w:cs="Georgia" w:eastAsia="Georgia" w:hAnsi="Georgia"/>
          <w:color w:val="333333"/>
          <w:sz w:val="22"/>
          <w:szCs w:val="22"/>
        </w:rPr>
        <w:t xml:space="preserve">How does the historical perspective help you hold both genuine conviction about the direction and genuine humility about the limitations of your current view?</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look like to communicate the historical perspective to your congregation in a way that helps them hold the current situation with more theological maturity?</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A Biblical Theology of Singing</w:t>
      </w:r>
    </w:p>
    <w:p>
      <w:pPr>
        <w:pBdr>
          <w:bottom w:val="single" w:color="B8862A" w:sz="6"/>
        </w:pBdr>
        <w:spacing w:before="0" w:after="480"/>
        <w:jc w:val="center"/>
      </w:pPr>
      <w:r>
        <w:rPr>
          <w:rFonts w:ascii="Georgia" w:cs="Georgia" w:eastAsia="Georgia" w:hAnsi="Georgia"/>
          <w:color w:val="555555"/>
          <w:sz w:val="22"/>
          <w:szCs w:val="22"/>
        </w:rPr>
        <w:t xml:space="preserve">Why we sing, what we sing, and how it should shape us</w:t>
      </w:r>
    </w:p>
    <w:p>
      <w:pPr>
        <w:spacing w:before="0" w:after="200" w:line="340" w:lineRule="auto"/>
      </w:pPr>
      <w:r>
        <w:rPr>
          <w:rFonts w:ascii="Georgia" w:cs="Georgia" w:eastAsia="Georgia" w:hAnsi="Georgia"/>
          <w:color w:val="1A1A1A"/>
          <w:sz w:val="24"/>
          <w:szCs w:val="24"/>
        </w:rPr>
        <w:t xml:space="preserve">Singing is not incidental to Christian worship. It is one of the New Testament’s explicit instructions about what gathered worship includes: “Speaking to one another in psalms and hymns and spiritual songs, singing and making melody to the Lord with your heart” (Ephesians 5:19). “Let the word of Christ dwell in you richly, teaching and admonishing one another in all wisdom, singing psalms and hymns and spiritual songs, with thankfulness in your hearts to God” (Colossians 3:16). These are not optional enhancements to the gathered community’s life. They are descriptions of what the gathered community is actually doing when it is healthy.</w:t>
      </w:r>
    </w:p>
    <w:p>
      <w:pPr>
        <w:pStyle w:val="Heading2"/>
      </w:pPr>
      <w:r>
        <w:rPr>
          <w:rFonts w:ascii="Arial" w:cs="Arial" w:eastAsia="Arial" w:hAnsi="Arial"/>
          <w:b/>
          <w:bCs/>
          <w:color w:val="1A6B6E"/>
          <w:sz w:val="28"/>
          <w:szCs w:val="28"/>
        </w:rPr>
        <w:t xml:space="preserve">Why We Sing</w:t>
      </w:r>
    </w:p>
    <w:p>
      <w:pPr>
        <w:spacing w:before="0" w:after="200" w:line="340" w:lineRule="auto"/>
        <w:ind w:firstLine="440"/>
      </w:pPr>
      <w:r>
        <w:rPr>
          <w:rFonts w:ascii="Georgia" w:cs="Georgia" w:eastAsia="Georgia" w:hAnsi="Georgia"/>
          <w:color w:val="1A1A1A"/>
          <w:sz w:val="24"/>
          <w:szCs w:val="24"/>
        </w:rPr>
        <w:t xml:space="preserve">Music engages the human person in a way that spoken language alone cannot. It activates the affective, the imaginative, and the embodied dimensions of human experience simultaneously. A truth heard in speech is received cognitively. The same truth embedded in a melody, harmonized by a community, and accompanied by the physical act of singing is received differently — it goes somewhere deeper, becomes more integrated into the person who receives it, and is recalled more readily under the pressure of circumstances that test its truth.</w:t>
      </w:r>
    </w:p>
    <w:p>
      <w:pPr>
        <w:spacing w:before="0" w:after="200" w:line="340" w:lineRule="auto"/>
        <w:ind w:firstLine="440"/>
      </w:pPr>
      <w:r>
        <w:rPr>
          <w:rFonts w:ascii="Georgia" w:cs="Georgia" w:eastAsia="Georgia" w:hAnsi="Georgia"/>
          <w:color w:val="1A1A1A"/>
          <w:sz w:val="24"/>
          <w:szCs w:val="24"/>
        </w:rPr>
        <w:t xml:space="preserve">This is why singing has been central to the worship of God’s people across every cultural moment of the biblical narrative. The people of Israel sang at the crossing of the Red Sea (Exodus 15). They sang the Psalms as the liturgy of the temple. The early church sang hymns in prison (Acts 16:25). The New Testament letters contain what many scholars believe are fragments of early Christian hymns (Philippians 2:6–11; Colossians 1:15–20; 1 Timothy 3:16). And the book of Revelation describes the redeemed community in heaven as a singing community (Revelation 5:9–14; 14:3; 15:3–4).</w:t>
      </w:r>
    </w:p>
    <w:p>
      <w:pPr>
        <w:spacing w:before="0" w:after="200" w:line="340" w:lineRule="auto"/>
        <w:ind w:firstLine="440"/>
      </w:pPr>
      <w:r>
        <w:rPr>
          <w:rFonts w:ascii="Georgia" w:cs="Georgia" w:eastAsia="Georgia" w:hAnsi="Georgia"/>
          <w:color w:val="1A1A1A"/>
          <w:sz w:val="24"/>
          <w:szCs w:val="24"/>
        </w:rPr>
        <w:t xml:space="preserve">Singing is not, then, a cultural preference or a musical entertainment. It is an expression of who God’s people are — a community that encounters the reality of what God has done and cannot remain silent, that finds in music a form of expression that the adequacy of the gospel demands.</w:t>
      </w:r>
    </w:p>
    <w:p>
      <w:pPr>
        <w:pStyle w:val="Heading2"/>
      </w:pPr>
      <w:r>
        <w:rPr>
          <w:rFonts w:ascii="Arial" w:cs="Arial" w:eastAsia="Arial" w:hAnsi="Arial"/>
          <w:b/>
          <w:bCs/>
          <w:color w:val="1A6B6E"/>
          <w:sz w:val="28"/>
          <w:szCs w:val="28"/>
        </w:rPr>
        <w:t xml:space="preserve">What We Should Sing</w:t>
      </w:r>
    </w:p>
    <w:p>
      <w:pPr>
        <w:spacing w:before="0" w:after="200" w:line="340" w:lineRule="auto"/>
        <w:ind w:firstLine="440"/>
      </w:pPr>
      <w:r>
        <w:rPr>
          <w:rFonts w:ascii="Georgia" w:cs="Georgia" w:eastAsia="Georgia" w:hAnsi="Georgia"/>
          <w:color w:val="1A1A1A"/>
          <w:sz w:val="24"/>
          <w:szCs w:val="24"/>
        </w:rPr>
        <w:t xml:space="preserve">The Colossians 3:16 passage connects the community’s singing directly to its theological life: the word of Christ dwelling richly in the community is expressed in its songs. The implication is significant: the songs the community sings are not merely accompaniments to its theological life. They are expressions of it. The theology of a congregation’s music shapes the theology of the congregation.</w:t>
      </w:r>
    </w:p>
    <w:p>
      <w:pPr>
        <w:spacing w:before="0" w:after="200" w:line="340" w:lineRule="auto"/>
        <w:ind w:firstLine="440"/>
      </w:pPr>
      <w:r>
        <w:rPr>
          <w:rFonts w:ascii="Georgia" w:cs="Georgia" w:eastAsia="Georgia" w:hAnsi="Georgia"/>
          <w:color w:val="1A1A1A"/>
          <w:sz w:val="24"/>
          <w:szCs w:val="24"/>
        </w:rPr>
        <w:t xml:space="preserve">This means that song selection is, in the fullest sense of the term, a theological act. The songs chosen determine which truths the community rehearses, which dimensions of God’s character are regularly celebrated, which aspects of the human experience before God are given language and expression. The congregation that sings primarily about God’s majesty and holiness will develop a different theological sensibility than the congregation that sings primarily about God’s intimacy and personal care. Both are true. Both deserve a place in worship. And the oversight of which truths get sung and how often is one of the most important pastoral functions of a worship ministry.</w:t>
      </w:r>
    </w:p>
    <w:p>
      <w:pPr>
        <w:pStyle w:val="Heading2"/>
      </w:pPr>
      <w:r>
        <w:rPr>
          <w:rFonts w:ascii="Arial" w:cs="Arial" w:eastAsia="Arial" w:hAnsi="Arial"/>
          <w:b/>
          <w:bCs/>
          <w:color w:val="1A6B6E"/>
          <w:sz w:val="28"/>
          <w:szCs w:val="28"/>
        </w:rPr>
        <w:t xml:space="preserve">The Congregational Singing Standard</w:t>
      </w:r>
    </w:p>
    <w:p>
      <w:pPr>
        <w:spacing w:before="0" w:after="200" w:line="340" w:lineRule="auto"/>
        <w:ind w:firstLine="440"/>
      </w:pPr>
      <w:r>
        <w:rPr>
          <w:rFonts w:ascii="Georgia" w:cs="Georgia" w:eastAsia="Georgia" w:hAnsi="Georgia"/>
          <w:color w:val="1A1A1A"/>
          <w:sz w:val="24"/>
          <w:szCs w:val="24"/>
        </w:rPr>
        <w:t xml:space="preserve">One of the most frequently violated principles of worship music is the principle of congregational singability. The worship song that cannot be sung by the ordinary, non-musically-trained members of the congregation has failed at one of its primary functions, regardless of how beautiful it sounds when performed by the worship team.</w:t>
      </w:r>
    </w:p>
    <w:p>
      <w:pPr>
        <w:spacing w:before="0" w:after="200" w:line="340" w:lineRule="auto"/>
        <w:ind w:firstLine="440"/>
      </w:pPr>
      <w:r>
        <w:rPr>
          <w:rFonts w:ascii="Georgia" w:cs="Georgia" w:eastAsia="Georgia" w:hAnsi="Georgia"/>
          <w:color w:val="1A1A1A"/>
          <w:sz w:val="24"/>
          <w:szCs w:val="24"/>
        </w:rPr>
        <w:t xml:space="preserve">The standard for evaluating whether a song meets the congregational singability test is specific: can an average person with average musical ability, hearing this song for the second or third time, sing it without musical training and without reading sheet music? Songs with narrow vocal ranges, clear melodic contours, and repeated choruses that reinforce the melody pass this test. Songs with wide ranges, complex melodic structures, or arrangements that prioritize musical sophistication over congregational accessibility often fail it.</w:t>
      </w:r>
    </w:p>
    <w:p>
      <w:pPr>
        <w:spacing w:before="0" w:after="200" w:line="340" w:lineRule="auto"/>
        <w:ind w:firstLine="440"/>
      </w:pPr>
      <w:r>
        <w:rPr>
          <w:rFonts w:ascii="Georgia" w:cs="Georgia" w:eastAsia="Georgia" w:hAnsi="Georgia"/>
          <w:color w:val="1A1A1A"/>
          <w:sz w:val="24"/>
          <w:szCs w:val="24"/>
        </w:rPr>
        <w:t xml:space="preserve">This standard does not mean that worship music must be simple to the point of being musically uninteresting. The great hymns of the tradition are often musically rich and theologically deep and still singable by ordinary people. The great contemporary worship songs achieve the same combination. The standard is accessibility, not poverty. And the worship leader who prioritizes the congregation’s ability to sing with genuine engagement over the worship team’s opportunity for musical self-expression is making a fundamentally pastoral choice.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congregation’s current song selection reveal about the theology being emphasized in your worship? Are there significant dimensions of the gospel that are regularly unsung?</w:t>
      </w:r>
    </w:p>
    <w:p>
      <w:pPr>
        <w:pStyle w:val="ListParagraph"/>
        <w:numPr>
          <w:ilvl w:val="0"/>
          <w:numId w:val="2"/>
        </w:numPr>
        <w:spacing w:before="80" w:after="80"/>
        <w:ind w:left="360"/>
      </w:pPr>
      <w:r>
        <w:rPr>
          <w:rFonts w:ascii="Georgia" w:cs="Georgia" w:eastAsia="Georgia" w:hAnsi="Georgia"/>
          <w:color w:val="333333"/>
          <w:sz w:val="22"/>
          <w:szCs w:val="22"/>
        </w:rPr>
        <w:t xml:space="preserve">Apply the congregational singability test to five songs in your current worship rotation. How do they fare?</w:t>
      </w:r>
    </w:p>
    <w:p>
      <w:pPr>
        <w:pStyle w:val="ListParagraph"/>
        <w:numPr>
          <w:ilvl w:val="0"/>
          <w:numId w:val="2"/>
        </w:numPr>
        <w:spacing w:before="80" w:after="80"/>
        <w:ind w:left="360"/>
      </w:pPr>
      <w:r>
        <w:rPr>
          <w:rFonts w:ascii="Georgia" w:cs="Georgia" w:eastAsia="Georgia" w:hAnsi="Georgia"/>
          <w:color w:val="333333"/>
          <w:sz w:val="22"/>
          <w:szCs w:val="22"/>
        </w:rPr>
        <w:t xml:space="preserve">How intentional is your song selection process? Who decides which songs are introduced, by what criteria, and how recently have those criteria been reviewed?</w:t>
      </w:r>
    </w:p>
    <w:p>
      <w:pPr>
        <w:pStyle w:val="ListParagraph"/>
        <w:numPr>
          <w:ilvl w:val="0"/>
          <w:numId w:val="2"/>
        </w:numPr>
        <w:spacing w:before="80" w:after="80"/>
        <w:ind w:left="360"/>
      </w:pPr>
      <w:r>
        <w:rPr>
          <w:rFonts w:ascii="Georgia" w:cs="Georgia" w:eastAsia="Georgia" w:hAnsi="Georgia"/>
          <w:color w:val="333333"/>
          <w:sz w:val="22"/>
          <w:szCs w:val="22"/>
        </w:rPr>
        <w:t xml:space="preserve">How do you help your congregation understand why they sing and what the singing is doing in their spiritual formation?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Practical Worship Philosophy for Your Context</w:t>
      </w:r>
    </w:p>
    <w:p>
      <w:pPr>
        <w:pBdr>
          <w:bottom w:val="single" w:color="B8862A" w:sz="6"/>
        </w:pBdr>
        <w:spacing w:before="0" w:after="480"/>
        <w:jc w:val="center"/>
      </w:pPr>
      <w:r>
        <w:rPr>
          <w:rFonts w:ascii="Georgia" w:cs="Georgia" w:eastAsia="Georgia" w:hAnsi="Georgia"/>
          <w:color w:val="555555"/>
          <w:sz w:val="22"/>
          <w:szCs w:val="22"/>
        </w:rPr>
        <w:t xml:space="preserve">How to develop the standards that will guide your worship for years</w:t>
      </w:r>
    </w:p>
    <w:p>
      <w:pPr>
        <w:spacing w:before="0" w:after="200" w:line="340" w:lineRule="auto"/>
      </w:pPr>
      <w:r>
        <w:rPr>
          <w:rFonts w:ascii="Georgia" w:cs="Georgia" w:eastAsia="Georgia" w:hAnsi="Georgia"/>
          <w:color w:val="1A1A1A"/>
          <w:sz w:val="24"/>
          <w:szCs w:val="24"/>
        </w:rPr>
        <w:t xml:space="preserve">Everything in this book so far has been theology. This chapter is application — the translation of the theological framework into the practical principles that will actually guide your congregation’s worship decisions across the coming years.</w:t>
      </w:r>
    </w:p>
    <w:p>
      <w:pPr>
        <w:spacing w:before="0" w:after="200" w:line="340" w:lineRule="auto"/>
        <w:ind w:firstLine="440"/>
      </w:pPr>
      <w:r>
        <w:rPr>
          <w:rFonts w:ascii="Georgia" w:cs="Georgia" w:eastAsia="Georgia" w:hAnsi="Georgia"/>
          <w:color w:val="1A1A1A"/>
          <w:sz w:val="24"/>
          <w:szCs w:val="24"/>
        </w:rPr>
        <w:t xml:space="preserve">A practical worship philosophy is not a style preference document. It is not a statement about whether your congregation will use contemporary or traditional music. It is a set of theological commitments and practical principles that apply consistently regardless of the specific cultural forms the worship takes — principles that are robust enough to serve as evaluation criteria for any specific worship decision.</w:t>
      </w:r>
    </w:p>
    <w:p>
      <w:pPr>
        <w:pStyle w:val="Heading2"/>
      </w:pPr>
      <w:r>
        <w:rPr>
          <w:rFonts w:ascii="Arial" w:cs="Arial" w:eastAsia="Arial" w:hAnsi="Arial"/>
          <w:b/>
          <w:bCs/>
          <w:color w:val="1A6B6E"/>
          <w:sz w:val="28"/>
          <w:szCs w:val="28"/>
        </w:rPr>
        <w:t xml:space="preserve">The Components of a Practical Worship Philosophy</w:t>
      </w:r>
    </w:p>
    <w:p>
      <w:pPr>
        <w:spacing w:before="0" w:after="200" w:line="340" w:lineRule="auto"/>
        <w:ind w:firstLine="440"/>
      </w:pPr>
      <w:r>
        <w:rPr>
          <w:rFonts w:ascii="Georgia" w:cs="Georgia" w:eastAsia="Georgia" w:hAnsi="Georgia"/>
          <w:color w:val="1A1A1A"/>
          <w:sz w:val="24"/>
          <w:szCs w:val="24"/>
        </w:rPr>
        <w:t xml:space="preserve">A practical worship philosophy has four components: a statement of purpose, a description of non-negotiable elements, a set of evaluation criteria for contextual elements, and a process for ongoing review and adaptation.</w:t>
      </w:r>
    </w:p>
    <w:p>
      <w:pPr>
        <w:spacing w:before="0" w:after="200" w:line="340" w:lineRule="auto"/>
        <w:ind w:firstLine="440"/>
      </w:pPr>
      <w:r>
        <w:rPr>
          <w:rFonts w:ascii="Georgia" w:cs="Georgia" w:eastAsia="Georgia" w:hAnsi="Georgia"/>
          <w:color w:val="1A1A1A"/>
          <w:sz w:val="24"/>
          <w:szCs w:val="24"/>
        </w:rPr>
        <w:t xml:space="preserve">The statement of purpose answers the question: what are we trying to accomplish when we gather for corporate worship? It should be specific enough to guide decisions but broad enough to encompass the full biblical picture of what worship is for. A congregation that has developed its own statement of purpose has done more to prevent future worship wars than any specific style decision can do.</w:t>
      </w:r>
    </w:p>
    <w:p>
      <w:pPr>
        <w:spacing w:before="0" w:after="200" w:line="340" w:lineRule="auto"/>
        <w:ind w:firstLine="440"/>
      </w:pPr>
      <w:r>
        <w:rPr>
          <w:rFonts w:ascii="Georgia" w:cs="Georgia" w:eastAsia="Georgia" w:hAnsi="Georgia"/>
          <w:color w:val="1A1A1A"/>
          <w:sz w:val="24"/>
          <w:szCs w:val="24"/>
        </w:rPr>
        <w:t xml:space="preserve">The non-negotiable elements section documents what must always be present in the congregation’s worship regardless of style or season: Scripture reading, proclamation, prayer, singing, and the regular celebration of the ordinances. These are the content commitments that the contextual form must always serve rather than replace.</w:t>
      </w:r>
    </w:p>
    <w:p>
      <w:pPr>
        <w:spacing w:before="0" w:after="200" w:line="340" w:lineRule="auto"/>
        <w:ind w:firstLine="440"/>
      </w:pPr>
      <w:r>
        <w:rPr>
          <w:rFonts w:ascii="Georgia" w:cs="Georgia" w:eastAsia="Georgia" w:hAnsi="Georgia"/>
          <w:color w:val="1A1A1A"/>
          <w:sz w:val="24"/>
          <w:szCs w:val="24"/>
        </w:rPr>
        <w:t xml:space="preserve">The evaluation criteria for contextual elements establish the standards against which specific musical choices, service structures, and aesthetic decisions are evaluated. Doctrinal accuracy. Congregational singability. Cultural intelligibility. Multigenerational accessibility. Musical quality. These criteria make worship decision-making a theological exercise rather than a preference competition.</w:t>
      </w:r>
    </w:p>
    <w:p>
      <w:pPr>
        <w:spacing w:before="0" w:after="200" w:line="340" w:lineRule="auto"/>
        <w:ind w:firstLine="440"/>
      </w:pPr>
      <w:r>
        <w:rPr>
          <w:rFonts w:ascii="Georgia" w:cs="Georgia" w:eastAsia="Georgia" w:hAnsi="Georgia"/>
          <w:color w:val="1A1A1A"/>
          <w:sz w:val="24"/>
          <w:szCs w:val="24"/>
        </w:rPr>
        <w:t xml:space="preserve">The ongoing review process establishes when and how the worship philosophy will be revisited, who will be involved, and how the congregation’s experience of the worship will be incorporated into the evaluation. Worship philosophies that are written once and never revisited become documents rather than living frameworks. The annual review is a minimal commitment to keeping the philosophy relevant and the congregation’s perspective genuinely incorporated.</w:t>
      </w:r>
    </w:p>
    <w:p>
      <w:pPr>
        <w:pStyle w:val="Heading2"/>
      </w:pPr>
      <w:r>
        <w:rPr>
          <w:rFonts w:ascii="Arial" w:cs="Arial" w:eastAsia="Arial" w:hAnsi="Arial"/>
          <w:b/>
          <w:bCs/>
          <w:color w:val="1A6B6E"/>
          <w:sz w:val="28"/>
          <w:szCs w:val="28"/>
        </w:rPr>
        <w:t xml:space="preserve">Who Is Involved in Developing the Worship Philosophy</w:t>
      </w:r>
    </w:p>
    <w:p>
      <w:pPr>
        <w:spacing w:before="0" w:after="200" w:line="340" w:lineRule="auto"/>
        <w:ind w:firstLine="440"/>
      </w:pPr>
      <w:r>
        <w:rPr>
          <w:rFonts w:ascii="Georgia" w:cs="Georgia" w:eastAsia="Georgia" w:hAnsi="Georgia"/>
          <w:color w:val="1A1A1A"/>
          <w:sz w:val="24"/>
          <w:szCs w:val="24"/>
        </w:rPr>
        <w:t xml:space="preserve">The worship philosophy is most effective when it is developed collaboratively — with the involvement of the pastoral staff, the worship team, the elder team, and a representative cross-section of the congregation. Not because every stakeholder group has equal theological authority, but because the document’s genuine usefulness in navigating future conflicts depends on the genuine ownership that collaborative development produces.</w:t>
      </w:r>
    </w:p>
    <w:p>
      <w:pPr>
        <w:spacing w:before="0" w:after="200" w:line="340" w:lineRule="auto"/>
        <w:ind w:firstLine="440"/>
      </w:pPr>
      <w:r>
        <w:rPr>
          <w:rFonts w:ascii="Georgia" w:cs="Georgia" w:eastAsia="Georgia" w:hAnsi="Georgia"/>
          <w:color w:val="1A1A1A"/>
          <w:sz w:val="24"/>
          <w:szCs w:val="24"/>
        </w:rPr>
        <w:t xml:space="preserve">The member who participated in developing the worship philosophy is more prepared to receive a worship decision that applies it than the member who was simply informed of the decision. Not because participation produces agreement on every specific decision, but because participation in the development of the framework produces understanding of how specific decisions are evaluated against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Does your congregation have a written worship philosophy? If so, when was it last revisited? If not, what would it take to develop one collaboratively?</w:t>
      </w:r>
    </w:p>
    <w:p>
      <w:pPr>
        <w:pStyle w:val="ListParagraph"/>
        <w:numPr>
          <w:ilvl w:val="0"/>
          <w:numId w:val="2"/>
        </w:numPr>
        <w:spacing w:before="80" w:after="80"/>
        <w:ind w:left="360"/>
      </w:pPr>
      <w:r>
        <w:rPr>
          <w:rFonts w:ascii="Georgia" w:cs="Georgia" w:eastAsia="Georgia" w:hAnsi="Georgia"/>
          <w:color w:val="333333"/>
          <w:sz w:val="22"/>
          <w:szCs w:val="22"/>
        </w:rPr>
        <w:t xml:space="preserve">Who should be involved in developing or updating your worship philosophy? Have you included the voices that are most skeptical of the direction you are moving?</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most important evaluation criteria for your congregation’s specific context? Which matter most, and why?</w:t>
      </w:r>
    </w:p>
    <w:p>
      <w:pPr>
        <w:pStyle w:val="ListParagraph"/>
        <w:numPr>
          <w:ilvl w:val="0"/>
          <w:numId w:val="2"/>
        </w:numPr>
        <w:spacing w:before="80" w:after="80"/>
        <w:ind w:left="360"/>
      </w:pPr>
      <w:r>
        <w:rPr>
          <w:rFonts w:ascii="Georgia" w:cs="Georgia" w:eastAsia="Georgia" w:hAnsi="Georgia"/>
          <w:color w:val="333333"/>
          <w:sz w:val="22"/>
          <w:szCs w:val="22"/>
        </w:rPr>
        <w:t xml:space="preserve">How would a documented worship philosophy change the way worship decisions are made in your congregation?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Navigating the Debate Pastorally</w:t>
      </w:r>
    </w:p>
    <w:p>
      <w:pPr>
        <w:pBdr>
          <w:bottom w:val="single" w:color="B8862A" w:sz="6"/>
        </w:pBdr>
        <w:spacing w:before="0" w:after="480"/>
        <w:jc w:val="center"/>
      </w:pPr>
      <w:r>
        <w:rPr>
          <w:rFonts w:ascii="Georgia" w:cs="Georgia" w:eastAsia="Georgia" w:hAnsi="Georgia"/>
          <w:color w:val="555555"/>
          <w:sz w:val="22"/>
          <w:szCs w:val="22"/>
        </w:rPr>
        <w:t xml:space="preserve">How to lead a congregation through the worship conversation without losing people</w:t>
      </w:r>
    </w:p>
    <w:p>
      <w:pPr>
        <w:spacing w:before="0" w:after="200" w:line="340" w:lineRule="auto"/>
      </w:pPr>
      <w:r>
        <w:rPr>
          <w:rFonts w:ascii="Georgia" w:cs="Georgia" w:eastAsia="Georgia" w:hAnsi="Georgia"/>
          <w:color w:val="1A1A1A"/>
          <w:sz w:val="24"/>
          <w:szCs w:val="24"/>
        </w:rPr>
        <w:t xml:space="preserve">A robust theology of worship does not automatically end worship debates. It does change how they are conducted. The congregation that has been theologically formed around a shared understanding of what worship is for and what makes it faithful is far better positioned to navigate specific disagreements about style than the congregation that has no framework beyond personal preference.</w:t>
      </w:r>
    </w:p>
    <w:p>
      <w:pPr>
        <w:spacing w:before="0" w:after="200" w:line="340" w:lineRule="auto"/>
        <w:ind w:firstLine="440"/>
      </w:pPr>
      <w:r>
        <w:rPr>
          <w:rFonts w:ascii="Georgia" w:cs="Georgia" w:eastAsia="Georgia" w:hAnsi="Georgia"/>
          <w:color w:val="1A1A1A"/>
          <w:sz w:val="24"/>
          <w:szCs w:val="24"/>
        </w:rPr>
        <w:t xml:space="preserve">This chapter is about the pastoral leadership of the worship conversation in the specific context of a congregation that is currently experiencing tension about worship. Not the long-term transition process — that is the subject of Book Thirteen. This chapter is about the ongoing pastoral work of helping a congregation navigate the worship question in a way that deepens rather than damages the community.</w:t>
      </w:r>
    </w:p>
    <w:p>
      <w:pPr>
        <w:pStyle w:val="Heading2"/>
      </w:pPr>
      <w:r>
        <w:rPr>
          <w:rFonts w:ascii="Arial" w:cs="Arial" w:eastAsia="Arial" w:hAnsi="Arial"/>
          <w:b/>
          <w:bCs/>
          <w:color w:val="1A6B6E"/>
          <w:sz w:val="28"/>
          <w:szCs w:val="28"/>
        </w:rPr>
        <w:t xml:space="preserve">Preaching Through the Worship Debate</w:t>
      </w:r>
    </w:p>
    <w:p>
      <w:pPr>
        <w:spacing w:before="0" w:after="200" w:line="340" w:lineRule="auto"/>
        <w:ind w:firstLine="440"/>
      </w:pPr>
      <w:r>
        <w:rPr>
          <w:rFonts w:ascii="Georgia" w:cs="Georgia" w:eastAsia="Georgia" w:hAnsi="Georgia"/>
          <w:color w:val="1A1A1A"/>
          <w:sz w:val="24"/>
          <w:szCs w:val="24"/>
        </w:rPr>
        <w:t xml:space="preserve">The most powerful pastoral response to a worship debate is not a policy decision or a style announcement. It is a sermon series that elevates the theological conversation above the stylistic one. The series that addresses what worship actually is — drawing on the full biblical narrative, engaging the real questions with theological depth, and providing a framework that gives the congregation a way to think about worship that transcends their current preferences — is the most durable pastoral contribution a preacher can make to his congregation’s worship health.</w:t>
      </w:r>
    </w:p>
    <w:p>
      <w:pPr>
        <w:spacing w:before="0" w:after="200" w:line="340" w:lineRule="auto"/>
        <w:ind w:firstLine="440"/>
      </w:pPr>
      <w:r>
        <w:rPr>
          <w:rFonts w:ascii="Georgia" w:cs="Georgia" w:eastAsia="Georgia" w:hAnsi="Georgia"/>
          <w:color w:val="1A1A1A"/>
          <w:sz w:val="24"/>
          <w:szCs w:val="24"/>
        </w:rPr>
        <w:t xml:space="preserve">This series requires courage. The pastor who preaches honestly about the content versus form distinction will frustrate both sides of the worship debate — the traditionalist who wants validation for the established practice and the contemporary advocate who wants permission to change it. The theological framework does not give either side what they are looking for. It gives them something better: a way of evaluating both sides’ claims against a standard that is higher than either side’s preference.</w:t>
      </w:r>
    </w:p>
    <w:p>
      <w:pPr>
        <w:pStyle w:val="Heading2"/>
      </w:pPr>
      <w:r>
        <w:rPr>
          <w:rFonts w:ascii="Arial" w:cs="Arial" w:eastAsia="Arial" w:hAnsi="Arial"/>
          <w:b/>
          <w:bCs/>
          <w:color w:val="1A6B6E"/>
          <w:sz w:val="28"/>
          <w:szCs w:val="28"/>
        </w:rPr>
        <w:t xml:space="preserve">The Individual Pastoral Conversation</w:t>
      </w:r>
    </w:p>
    <w:p>
      <w:pPr>
        <w:spacing w:before="0" w:after="200" w:line="340" w:lineRule="auto"/>
        <w:ind w:firstLine="440"/>
      </w:pPr>
      <w:r>
        <w:rPr>
          <w:rFonts w:ascii="Georgia" w:cs="Georgia" w:eastAsia="Georgia" w:hAnsi="Georgia"/>
          <w:color w:val="1A1A1A"/>
          <w:sz w:val="24"/>
          <w:szCs w:val="24"/>
        </w:rPr>
        <w:t xml:space="preserve">The worship debate that the pulpit can address theologically must also be addressed pastorally in the individual conversations that happen across the congregation’s life. The member who is deeply distressed about a worship change does not primarily need a theological lecture. She needs a pastor who will genuinely hear what the change means to her and who will honor her experience before explaining the theological framework.</w:t>
      </w:r>
    </w:p>
    <w:p>
      <w:pPr>
        <w:spacing w:before="0" w:after="200" w:line="340" w:lineRule="auto"/>
        <w:ind w:firstLine="440"/>
      </w:pPr>
      <w:r>
        <w:rPr>
          <w:rFonts w:ascii="Georgia" w:cs="Georgia" w:eastAsia="Georgia" w:hAnsi="Georgia"/>
          <w:color w:val="1A1A1A"/>
          <w:sz w:val="24"/>
          <w:szCs w:val="24"/>
        </w:rPr>
        <w:t xml:space="preserve">The sequence of the pastoral conversation matters: listening comes before explaining, care comes before correction, genuine presence comes before theological argument. The member who has been genuinely heard — whose grief about a change has been genuinely honored — is far more receptive to the theological conversation that follows than the member who has been immediately redirected to the framework without being allowed to express what she is actually feeling.</w:t>
      </w:r>
    </w:p>
    <w:p>
      <w:pPr>
        <w:spacing w:before="0" w:after="200" w:line="340" w:lineRule="auto"/>
        <w:ind w:firstLine="440"/>
      </w:pPr>
      <w:r>
        <w:rPr>
          <w:rFonts w:ascii="Georgia" w:cs="Georgia" w:eastAsia="Georgia" w:hAnsi="Georgia"/>
          <w:color w:val="1A1A1A"/>
          <w:sz w:val="24"/>
          <w:szCs w:val="24"/>
        </w:rPr>
        <w:t xml:space="preserve">This sequence is not a manipulative technique for softening the congregation’s resistance. It is the expression of genuine pastoral care for a real person who is experiencing a genuine loss. And the care is not merely strategic. It is right. The sheep in the pastor’s care deserves his genuine presence in her grief, regardless of whether that presence eventually produces the acceptance of the change that the pastor is leading.</w:t>
      </w:r>
    </w:p>
    <w:p>
      <w:pPr>
        <w:pStyle w:val="Heading2"/>
      </w:pPr>
      <w:r>
        <w:rPr>
          <w:rFonts w:ascii="Arial" w:cs="Arial" w:eastAsia="Arial" w:hAnsi="Arial"/>
          <w:b/>
          <w:bCs/>
          <w:color w:val="1A6B6E"/>
          <w:sz w:val="28"/>
          <w:szCs w:val="28"/>
        </w:rPr>
        <w:t xml:space="preserve">Modeling the Unity That Transcends Style</w:t>
      </w:r>
    </w:p>
    <w:p>
      <w:pPr>
        <w:spacing w:before="0" w:after="200" w:line="340" w:lineRule="auto"/>
        <w:ind w:firstLine="440"/>
      </w:pPr>
      <w:r>
        <w:rPr>
          <w:rFonts w:ascii="Georgia" w:cs="Georgia" w:eastAsia="Georgia" w:hAnsi="Georgia"/>
          <w:color w:val="1A1A1A"/>
          <w:sz w:val="24"/>
          <w:szCs w:val="24"/>
        </w:rPr>
        <w:t xml:space="preserve">The most powerful long-term pastoral contribution to a congregation’s worship health is the visible modeling of the conviction that the unity of the body transcends its stylistic preferences. This modeling begins in the pulpit — in how the pastor speaks about the congregation’s worship history, about the generations whose faith was formed in different musical traditions, about the diversity of the church across time and culture. And it extends into every pastoral relationship in which the question arises.</w:t>
      </w:r>
    </w:p>
    <w:p>
      <w:pPr>
        <w:spacing w:before="0" w:after="200" w:line="340" w:lineRule="auto"/>
        <w:ind w:firstLine="440"/>
      </w:pPr>
      <w:r>
        <w:rPr>
          <w:rFonts w:ascii="Georgia" w:cs="Georgia" w:eastAsia="Georgia" w:hAnsi="Georgia"/>
          <w:color w:val="1A1A1A"/>
          <w:sz w:val="24"/>
          <w:szCs w:val="24"/>
        </w:rPr>
        <w:t xml:space="preserve">The pastor who genuinely believes — and visibly lives — that the sister who was formed by traditional hymns and the brother who encounters God most authentically in contemporary worship are equally members of the same body, equally loved by the same Shepherd, equally invited into the same divine presence, is modeling something that no style debate can produce and no style victory can establish. And that modeling is, in the end, the most compelling argument for the theology of worship this book has been building toward.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are you currently leading the worship conversation in your congregation? Is it primarily reactive or proactively theological?</w:t>
      </w:r>
    </w:p>
    <w:p>
      <w:pPr>
        <w:pStyle w:val="ListParagraph"/>
        <w:numPr>
          <w:ilvl w:val="0"/>
          <w:numId w:val="2"/>
        </w:numPr>
        <w:spacing w:before="80" w:after="80"/>
        <w:ind w:left="360"/>
      </w:pPr>
      <w:r>
        <w:rPr>
          <w:rFonts w:ascii="Georgia" w:cs="Georgia" w:eastAsia="Georgia" w:hAnsi="Georgia"/>
          <w:color w:val="333333"/>
          <w:sz w:val="22"/>
          <w:szCs w:val="22"/>
        </w:rPr>
        <w:t xml:space="preserve">What would a sermon series on the theology of worship look like in your specific congregation? What texts would you use, and what conclusions would you need the courage to draw?</w:t>
      </w:r>
    </w:p>
    <w:p>
      <w:pPr>
        <w:pStyle w:val="ListParagraph"/>
        <w:numPr>
          <w:ilvl w:val="0"/>
          <w:numId w:val="2"/>
        </w:numPr>
        <w:spacing w:before="80" w:after="80"/>
        <w:ind w:left="360"/>
      </w:pPr>
      <w:r>
        <w:rPr>
          <w:rFonts w:ascii="Georgia" w:cs="Georgia" w:eastAsia="Georgia" w:hAnsi="Georgia"/>
          <w:color w:val="333333"/>
          <w:sz w:val="22"/>
          <w:szCs w:val="22"/>
        </w:rPr>
        <w:t xml:space="preserve">Who in your congregation needs a pastoral conversation about worship right now — not a theological argument, but genuine pastoral presence with their specific experience?</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own modeling of the conviction that unity transcends style look like? Is it visible and credible to the members on both sides of the worship debate?</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Song That Outlasts the Debate</w:t>
      </w:r>
    </w:p>
    <w:p>
      <w:pPr>
        <w:spacing w:before="0" w:after="200" w:line="340" w:lineRule="auto"/>
      </w:pPr>
      <w:r>
        <w:rPr>
          <w:rFonts w:ascii="Georgia" w:cs="Georgia" w:eastAsia="Georgia" w:hAnsi="Georgia"/>
          <w:color w:val="1A1A1A"/>
          <w:sz w:val="24"/>
          <w:szCs w:val="24"/>
        </w:rPr>
        <w:t xml:space="preserve">The worship war will eventually end. Every worship war does. What replaces it — resentful compliance, the fragile peace of a divided congregation, or the genuine unity of a community formed around a shared theology of encounter with the living God — depends on how it was led.</w:t>
      </w:r>
    </w:p>
    <w:p>
      <w:pPr>
        <w:spacing w:before="0" w:after="200" w:line="340" w:lineRule="auto"/>
        <w:ind w:firstLine="440"/>
      </w:pPr>
      <w:r>
        <w:rPr>
          <w:rFonts w:ascii="Georgia" w:cs="Georgia" w:eastAsia="Georgia" w:hAnsi="Georgia"/>
          <w:color w:val="1A1A1A"/>
          <w:sz w:val="24"/>
          <w:szCs w:val="24"/>
        </w:rPr>
        <w:t xml:space="preserve">The pastor who leads the worship conversation theologically rather than stylistically, who cares for the people on both sides of the debate with genuine pastoral presence, who builds a shared theology of worship that gives the congregation a framework for evaluating all of their worship decisions — this pastor will produce something that style preferences alone could never produce: a community that knows what it is doing when it gathers, that can hold the diversity of its members’ worship experiences within a shared theological commitment, and that can adapt its forms across cultural seasons without losing its theological center.</w:t>
      </w:r>
    </w:p>
    <w:p>
      <w:pPr>
        <w:spacing w:before="0" w:after="200" w:line="340" w:lineRule="auto"/>
        <w:ind w:firstLine="440"/>
      </w:pPr>
      <w:r>
        <w:rPr>
          <w:rFonts w:ascii="Georgia" w:cs="Georgia" w:eastAsia="Georgia" w:hAnsi="Georgia"/>
          <w:color w:val="1A1A1A"/>
          <w:sz w:val="24"/>
          <w:szCs w:val="24"/>
        </w:rPr>
        <w:t xml:space="preserve">That community will sing. It will sing differently in different seasons. But it will sing with the conviction of people who know what they are doing and who are doing it together.</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Make a joyful noise to the Lord, all the earth! Serve the Lord with gladness! Come into his presence with singing!</w:t>
      </w:r>
      <w:r>
        <w:rPr>
          <w:rFonts w:ascii="Georgia" w:cs="Georgia" w:eastAsia="Georgia" w:hAnsi="Georgia"/>
          <w:color w:val="888888"/>
          <w:sz w:val="21"/>
          <w:szCs w:val="21"/>
        </w:rPr>
        <w:t xml:space="preserve">  — Psalm 100:1–2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HYMNS, CHORUSES, AND HOLY GROUND</w:t>
    </w:r>
    <w:r>
      <w:rPr>
        <w:rFonts w:ascii="Arial" w:cs="Arial" w:eastAsia="Arial" w:hAnsi="Arial"/>
        <w:color w:val="888888"/>
        <w:sz w:val="17"/>
        <w:szCs w:val="17"/>
      </w:rPr>
      <w:t xml:space="preserve">   |   PCN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1A6B6E"/>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2026-03-24T05:44:25.957Z</dcterms:created>
  <dcterms:modified xsi:type="dcterms:W3CDTF">2026-03-24T05:44:25.958Z</dcterms:modified>
</cp:coreProperties>
</file>

<file path=docProps/custom.xml><?xml version="1.0" encoding="utf-8"?>
<Properties xmlns="http://schemas.openxmlformats.org/officeDocument/2006/custom-properties" xmlns:vt="http://schemas.openxmlformats.org/officeDocument/2006/docPropsVTypes"/>
</file>