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color w:val="E8600A"/>
          <w:sz w:val="44"/>
          <w:szCs w:val="44"/>
        </w:rPr>
        <w:t xml:space="preserve">MANUSCRIPT AUDIT REPORT</w:t>
      </w:r>
    </w:p>
    <w:p>
      <w:pPr>
        <w:pBdr>
          <w:bottom w:val="single" w:color="E8600A" w:sz="6" w:space="1"/>
        </w:pBdr>
        <w:spacing w:after="200" w:before="200"/>
      </w:pPr>
    </w:p>
    <w:p>
      <w:pPr>
        <w:spacing w:after="80"/>
        <w:jc w:val="center"/>
      </w:pPr>
      <w:r>
        <w:rPr>
          <w:rFonts w:ascii="Arial" w:cs="Arial" w:eastAsia="Arial" w:hAnsi="Arial"/>
          <w:b/>
          <w:bCs/>
          <w:sz w:val="28"/>
          <w:szCs w:val="28"/>
        </w:rPr>
        <w:t xml:space="preserve">BELIEVE: Rational Answers to a Reasonable Faith</w:t>
      </w:r>
    </w:p>
    <w:p>
      <w:pPr>
        <w:spacing w:after="80"/>
        <w:jc w:val="center"/>
      </w:pPr>
      <w:r>
        <w:rPr>
          <w:rFonts w:ascii="Arial" w:cs="Arial" w:eastAsia="Arial" w:hAnsi="Arial"/>
          <w:i/>
          <w:iCs/>
          <w:sz w:val="24"/>
          <w:szCs w:val="24"/>
        </w:rPr>
        <w:t xml:space="preserve">by James C. Bell</w:t>
      </w:r>
    </w:p>
    <w:p>
      <w:pPr>
        <w:spacing w:after="400"/>
        <w:jc w:val="center"/>
      </w:pPr>
      <w:r>
        <w:rPr>
          <w:rFonts w:ascii="Arial" w:cs="Arial" w:eastAsia="Arial" w:hAnsi="Arial"/>
          <w:color w:val="666666"/>
          <w:sz w:val="20"/>
          <w:szCs w:val="20"/>
        </w:rPr>
        <w:t xml:space="preserve">LiveWell by James Bell</w:t>
      </w:r>
    </w:p>
    <w:p>
      <w:pPr>
        <w:pBdr>
          <w:bottom w:val="single" w:color="E8600A" w:sz="6" w:space="1"/>
        </w:pBdr>
        <w:spacing w:after="200" w:before="200"/>
      </w:pPr>
    </w:p>
    <w:p>
      <w:pPr>
        <w:spacing w:after="60" w:before="200"/>
        <w:jc w:val="center"/>
      </w:pPr>
      <w:r>
        <w:rPr>
          <w:rFonts w:ascii="Arial" w:cs="Arial" w:eastAsia="Arial" w:hAnsi="Arial"/>
          <w:sz w:val="20"/>
          <w:szCs w:val="20"/>
        </w:rPr>
        <w:t xml:space="preserve">Prepared by: Editorial Review Division</w:t>
      </w:r>
    </w:p>
    <w:p>
      <w:pPr>
        <w:spacing w:after="60"/>
        <w:jc w:val="center"/>
      </w:pPr>
      <w:r>
        <w:rPr>
          <w:rFonts w:ascii="Arial" w:cs="Arial" w:eastAsia="Arial" w:hAnsi="Arial"/>
          <w:sz w:val="20"/>
          <w:szCs w:val="20"/>
        </w:rPr>
        <w:t xml:space="preserve">Date: April 14, 2026</w:t>
      </w:r>
    </w:p>
    <w:p>
      <w:pPr>
        <w:spacing w:after="60"/>
        <w:jc w:val="center"/>
      </w:pPr>
      <w:r>
        <w:rPr>
          <w:rFonts w:ascii="Arial" w:cs="Arial" w:eastAsia="Arial" w:hAnsi="Arial"/>
          <w:sz w:val="20"/>
          <w:szCs w:val="20"/>
        </w:rPr>
        <w:t xml:space="preserve">Manuscript Length: ~70,800 words (Target: 80,000)</w:t>
      </w:r>
    </w:p>
    <w:p>
      <w:pPr>
        <w:spacing w:after="60"/>
        <w:jc w:val="center"/>
      </w:pPr>
      <w:r>
        <w:rPr>
          <w:rFonts w:ascii="Arial" w:cs="Arial" w:eastAsia="Arial" w:hAnsi="Arial"/>
          <w:sz w:val="20"/>
          <w:szCs w:val="20"/>
        </w:rPr>
        <w:t xml:space="preserve">Genre: Christian Apologetics / Nonfiction</w:t>
      </w:r>
    </w:p>
    <w:p>
      <w:pPr>
        <w:jc w:val="center"/>
      </w:pPr>
      <w:r>
        <w:rPr>
          <w:rFonts w:ascii="Arial" w:cs="Arial" w:eastAsia="Arial" w:hAnsi="Arial"/>
          <w:b/>
          <w:bCs/>
          <w:color w:val="E8600A"/>
          <w:sz w:val="22"/>
          <w:szCs w:val="22"/>
        </w:rPr>
        <w:t xml:space="preserve">Recommendation: REVISE AND RESUBMIT (Strong)</w:t>
      </w:r>
    </w:p>
    <w:p>
      <w:r>
        <w:br w:type="page"/>
      </w:r>
    </w:p>
    <w:p>
      <w:pPr>
        <w:pStyle w:val="Heading1"/>
        <w:spacing w:after="120" w:before="360"/>
      </w:pPr>
      <w:r>
        <w:rPr>
          <w:rFonts w:ascii="Arial" w:cs="Arial" w:eastAsia="Arial" w:hAnsi="Arial"/>
          <w:b/>
          <w:bCs/>
          <w:color w:val="E8600A"/>
          <w:sz w:val="32"/>
          <w:szCs w:val="32"/>
        </w:rPr>
        <w:t xml:space="preserve">I. Executive Summary</w:t>
      </w:r>
    </w:p>
    <w:p>
      <w:pPr>
        <w:spacing w:after="120" w:before="120" w:line="320"/>
        <w:jc w:val="left"/>
      </w:pPr>
      <w:r>
        <w:rPr>
          <w:rFonts w:ascii="Arial" w:cs="Arial" w:eastAsia="Arial" w:hAnsi="Arial"/>
          <w:b w:val="false"/>
          <w:bCs w:val="false"/>
          <w:sz w:val="22"/>
          <w:szCs w:val="22"/>
        </w:rPr>
        <w:t xml:space="preserve">This report constitutes a comprehensive editorial audit of </w:t>
      </w:r>
      <w:r>
        <w:rPr>
          <w:rFonts w:ascii="Arial" w:cs="Arial" w:eastAsia="Arial" w:hAnsi="Arial"/>
          <w:b/>
          <w:bCs/>
          <w:sz w:val="22"/>
          <w:szCs w:val="22"/>
        </w:rPr>
        <w:t xml:space="preserve">BELIEVE: Rational Answers to a Reasonable Faith</w:t>
      </w:r>
      <w:r>
        <w:rPr>
          <w:rFonts w:ascii="Arial" w:cs="Arial" w:eastAsia="Arial" w:hAnsi="Arial"/>
          <w:b w:val="false"/>
          <w:bCs w:val="false"/>
          <w:sz w:val="22"/>
          <w:szCs w:val="22"/>
        </w:rPr>
        <w:t xml:space="preserve"> by James C. Bell, submitted at approximately 70,800 words across twelve chapters, an introduction, and five appendices.</w:t>
      </w:r>
    </w:p>
    <w:p>
      <w:pPr>
        <w:spacing w:after="120" w:before="120" w:line="320"/>
        <w:jc w:val="left"/>
      </w:pPr>
      <w:r>
        <w:rPr>
          <w:rFonts w:ascii="Arial" w:cs="Arial" w:eastAsia="Arial" w:hAnsi="Arial"/>
          <w:b w:val="false"/>
          <w:bCs w:val="false"/>
          <w:sz w:val="22"/>
          <w:szCs w:val="22"/>
        </w:rPr>
        <w:t xml:space="preserve">The manuscript is a cumulative-case apologetics book written from the distinctive vantage of a former atheist who became a pastor. It combines rigorous philosophical and historical argumentation with pastoral warmth, Greek and Hebrew word studies, and a prophetic voice rarely found in the genre. The courtroom structure (Foundation → Person → Hard Questions → Verdict) is well-conceived and well-executed.</w:t>
      </w:r>
    </w:p>
    <w:p>
      <w:pPr>
        <w:spacing w:after="120" w:before="120" w:line="320"/>
        <w:jc w:val="left"/>
      </w:pPr>
      <w:r>
        <w:rPr>
          <w:rFonts w:ascii="Arial" w:cs="Arial" w:eastAsia="Arial" w:hAnsi="Arial"/>
          <w:b w:val="false"/>
          <w:bCs w:val="false"/>
          <w:sz w:val="22"/>
          <w:szCs w:val="22"/>
        </w:rPr>
        <w:t xml:space="preserve">Our recommendation is </w:t>
      </w:r>
      <w:r>
        <w:rPr>
          <w:rFonts w:ascii="Arial" w:cs="Arial" w:eastAsia="Arial" w:hAnsi="Arial"/>
          <w:b/>
          <w:bCs/>
          <w:sz w:val="22"/>
          <w:szCs w:val="22"/>
        </w:rPr>
        <w:t xml:space="preserve">Revise and Resubmit (Strong)</w:t>
      </w:r>
      <w:r>
        <w:rPr>
          <w:rFonts w:ascii="Arial" w:cs="Arial" w:eastAsia="Arial" w:hAnsi="Arial"/>
          <w:b w:val="false"/>
          <w:bCs w:val="false"/>
          <w:sz w:val="22"/>
          <w:szCs w:val="22"/>
        </w:rPr>
        <w:t xml:space="preserve">. The manuscript is publishable in its current form for a self-published or small-press release. For a major trade or academic press, one focused revision pass addressing the issues identified below would elevate this from a good apologetics book to a potentially field-defining one.</w:t>
      </w:r>
    </w:p>
    <w:p>
      <w:pPr>
        <w:spacing w:after="120" w:before="120" w:line="320"/>
        <w:jc w:val="left"/>
      </w:pPr>
      <w:r>
        <w:rPr>
          <w:rFonts w:ascii="Arial" w:cs="Arial" w:eastAsia="Arial" w:hAnsi="Arial"/>
          <w:b w:val="false"/>
          <w:bCs w:val="false"/>
          <w:sz w:val="22"/>
          <w:szCs w:val="22"/>
        </w:rPr>
        <w:t xml:space="preserve">The voice is the book’s primary asset. James Bell writes with a sentence rhythm, theological density, and self-implicating honesty that distinguish this manuscript from every comparable title currently on the market. That voice must be preserved through any revision. The structural and content issues identified below are fixable without touching the voice.</w:t>
      </w:r>
    </w:p>
    <w:p>
      <w:r>
        <w:br w:type="page"/>
      </w:r>
    </w:p>
    <w:p>
      <w:pPr>
        <w:pStyle w:val="Heading1"/>
        <w:spacing w:after="120" w:before="360"/>
      </w:pPr>
      <w:r>
        <w:rPr>
          <w:rFonts w:ascii="Arial" w:cs="Arial" w:eastAsia="Arial" w:hAnsi="Arial"/>
          <w:b/>
          <w:bCs/>
          <w:color w:val="E8600A"/>
          <w:sz w:val="32"/>
          <w:szCs w:val="32"/>
        </w:rPr>
        <w:t xml:space="preserve">II. Scorecard</w:t>
      </w:r>
    </w:p>
    <w:p>
      <w:pPr>
        <w:spacing w:after="120" w:before="120" w:line="320"/>
        <w:jc w:val="left"/>
      </w:pPr>
      <w:r>
        <w:rPr>
          <w:rFonts w:ascii="Arial" w:cs="Arial" w:eastAsia="Arial" w:hAnsi="Arial"/>
          <w:b w:val="false"/>
          <w:bCs w:val="false"/>
          <w:sz w:val="22"/>
          <w:szCs w:val="22"/>
        </w:rPr>
        <w:t xml:space="preserve">The following rubric evaluates the manuscript across ten categories. Grades reflect publishability standards for a major trade press in the Christian nonfiction market.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vAlign w:val="center"/>
          </w:tcPr>
          <w:p>
            <w:r>
              <w:rPr>
                <w:rFonts w:ascii="Arial" w:cs="Arial" w:eastAsia="Arial" w:hAnsi="Arial"/>
                <w:b/>
                <w:bCs/>
                <w:color w:val="FFFFFF"/>
                <w:sz w:val="20"/>
                <w:szCs w:val="20"/>
              </w:rPr>
              <w:t xml:space="preserve">Grade</w:t>
            </w:r>
          </w:p>
        </w:tc>
        <w:tc>
          <w:tcPr>
            <w:tcW w:type="dxa" w:w="4760"/>
            <w:tcBorders>
              <w:top w:val="single" w:color="CCCCCC" w:sz="1"/>
              <w:left w:val="single" w:color="CCCCCC" w:sz="1"/>
              <w:bottom w:val="single" w:color="CCCCCC" w:sz="1"/>
              <w:right w:val="single" w:color="CCCCCC" w:sz="1"/>
            </w:tcBorders>
            <w:shd w:fill="E8600A"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18"/>
                <w:szCs w:val="18"/>
              </w:rPr>
              <w:t xml:space="preserve">Voice &amp; Originality</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18"/>
                <w:szCs w:val="18"/>
              </w:rPr>
              <w:t xml:space="preserve">A−</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8"/>
                <w:szCs w:val="18"/>
              </w:rPr>
              <w:t xml:space="preserve">Distinctive, earned, non-replicable. James Bell’s voice is the book’s primary competitive asset. The sentence rhythm (short-long-short), the Greek/Hebrew rhetorical spine, and the self-implicating prophetic register are strong throughout.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Theological Rigor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Keller-level architecture with primary-source depth. Greek and Hebrew word studies integrated as rhetorical engines, not decoration. Eschatological and soteriological positions held with appropriate confidence and appropriate humility.</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18"/>
                <w:szCs w:val="18"/>
              </w:rPr>
              <w:t xml:space="preserve">Argument Architecture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18"/>
                <w:szCs w:val="18"/>
              </w:rPr>
              <w:t xml:space="preserve">A−</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8"/>
                <w:szCs w:val="18"/>
              </w:rPr>
              <w:t xml:space="preserve">Courtroom structure (Foundation → Person → Hard Questions → Verdict) is strong and well-paced. Cumulative case methodology is deployed competently. Each chapter builds on the last.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Emotional Range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Prophetic register dominates. The pastoral register appears in strong moments (ch5 hospital rooms, ch12 prodigal) but the book could use more variation—especially intellectual curiosity and vulnerable honesty registers in the middle chapters.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18"/>
                <w:szCs w:val="18"/>
              </w:rPr>
              <w:t xml:space="preserve">Market Positioning</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18"/>
                <w:szCs w:val="18"/>
              </w:rPr>
              <w:t xml:space="preserve">B+</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8"/>
                <w:szCs w:val="18"/>
              </w:rPr>
              <w:t xml:space="preserve">Strong entrant in the apologetics genre. The former-atheist-turned-pastor angle is genuinely differentiating. Needs a sharper articulation of what this book does that Keller, Strobel, and Lewis do not.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Chapter Integration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two-pass composition (base chapters + extension modules) creates a visible seam in several chapters. Extensions occasionally restate material from the base rather than extending it. A full integration pass would eliminate this.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18"/>
                <w:szCs w:val="18"/>
              </w:rPr>
              <w:t xml:space="preserve">Diversity of Sources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18"/>
                <w:szCs w:val="18"/>
              </w:rPr>
              <w:t xml:space="preserve">B−</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8"/>
                <w:szCs w:val="18"/>
              </w:rPr>
              <w:t xml:space="preserve">Male-dominated citation pattern. No women theologians, philosophers, or apologists cited by name in the main argument. This is a notable gap given the target audience includes women readers and the tradition includes strong female voices.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Prose Economy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Several chapters run 15–20% long. Repetition of key phrases across chapters (borrowed capital, the human heart insists) creates rhetorical momentum but also fatigue by chapter 10. Tighten by 8–10%.</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18"/>
                <w:szCs w:val="18"/>
              </w:rPr>
              <w:t xml:space="preserve">Pastoral Application</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18"/>
                <w:szCs w:val="18"/>
              </w:rPr>
              <w:t xml:space="preserve">B+</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8"/>
                <w:szCs w:val="18"/>
              </w:rPr>
              <w:t xml:space="preserve">Chapter 12 lands well. The sinner’s prayer is handled with appropriate nuance. First-days counsel is practical. The prodigal extended treatment is the emotional peak of the book.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Appendices &amp; Apparatus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Scripture index, glossary, reading list, discussion questions, and conversation guide are all strong. Appendix B (Recommended Reading) could be updated to include more recent scholarship (post-2020).</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18"/>
                <w:szCs w:val="18"/>
              </w:rPr>
              <w:t xml:space="preserve">OVERALL MANUSCRIPT</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18"/>
                <w:szCs w:val="18"/>
              </w:rPr>
              <w:t xml:space="preserve">B+/A−</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8"/>
                <w:szCs w:val="18"/>
              </w:rPr>
              <w:t xml:space="preserve">A strong, distinctive, publishable manuscript that needs one more revision pass to reach its full potential. The voice is the asset. The architecture is sound. The gaps are fixable.</w:t>
            </w:r>
          </w:p>
        </w:tc>
      </w:tr>
    </w:tbl>
    <w:p>
      <w:r>
        <w:br w:type="page"/>
      </w:r>
    </w:p>
    <w:p>
      <w:pPr>
        <w:pStyle w:val="Heading1"/>
        <w:spacing w:after="120" w:before="360"/>
      </w:pPr>
      <w:r>
        <w:rPr>
          <w:rFonts w:ascii="Arial" w:cs="Arial" w:eastAsia="Arial" w:hAnsi="Arial"/>
          <w:b/>
          <w:bCs/>
          <w:color w:val="E8600A"/>
          <w:sz w:val="32"/>
          <w:szCs w:val="32"/>
        </w:rPr>
        <w:t xml:space="preserve">III. Manuscript Strengths</w:t>
      </w:r>
    </w:p>
    <w:p>
      <w:pPr>
        <w:pStyle w:val="Heading2"/>
        <w:spacing w:after="120" w:before="240"/>
      </w:pPr>
      <w:r>
        <w:rPr>
          <w:rFonts w:ascii="Arial" w:cs="Arial" w:eastAsia="Arial" w:hAnsi="Arial"/>
          <w:b/>
          <w:bCs/>
          <w:color w:val="1A1A1A"/>
          <w:sz w:val="26"/>
          <w:szCs w:val="26"/>
        </w:rPr>
        <w:t xml:space="preserve">1. An Unreplicable Voice</w:t>
      </w:r>
    </w:p>
    <w:p>
      <w:pPr>
        <w:spacing w:after="120" w:before="120" w:line="320"/>
        <w:jc w:val="left"/>
      </w:pPr>
      <w:r>
        <w:rPr>
          <w:rFonts w:ascii="Arial" w:cs="Arial" w:eastAsia="Arial" w:hAnsi="Arial"/>
          <w:b w:val="false"/>
          <w:bCs w:val="false"/>
          <w:sz w:val="22"/>
          <w:szCs w:val="22"/>
        </w:rPr>
        <w:t xml:space="preserve">The single strongest feature of this manuscript is the author’s voice. Bell writes with a short-long-short sentence cadence that creates a reading rhythm unlike any current apologetics author. The prophetic register (“We have made Christianity safe for the American Dream”) is balanced by genuine pastoral vulnerability (“I have sat in more hospital rooms than I can count”). The self-implication—the author is always inside the indictment—prevents the prophetic voice from becoming preachy. This voice is the book’s moat. No competitor can replicate it.</w:t>
      </w:r>
    </w:p>
    <w:p>
      <w:pPr>
        <w:pStyle w:val="Heading2"/>
        <w:spacing w:after="120" w:before="240"/>
      </w:pPr>
      <w:r>
        <w:rPr>
          <w:rFonts w:ascii="Arial" w:cs="Arial" w:eastAsia="Arial" w:hAnsi="Arial"/>
          <w:b/>
          <w:bCs/>
          <w:color w:val="1A1A1A"/>
          <w:sz w:val="26"/>
          <w:szCs w:val="26"/>
        </w:rPr>
        <w:t xml:space="preserve">2. Greek/Hebrew as Rhetorical Spine</w:t>
      </w:r>
    </w:p>
    <w:p>
      <w:pPr>
        <w:spacing w:after="120" w:before="120" w:line="320"/>
        <w:jc w:val="left"/>
      </w:pPr>
      <w:r>
        <w:rPr>
          <w:rFonts w:ascii="Arial" w:cs="Arial" w:eastAsia="Arial" w:hAnsi="Arial"/>
          <w:b w:val="false"/>
          <w:bCs w:val="false"/>
          <w:sz w:val="22"/>
          <w:szCs w:val="22"/>
        </w:rPr>
        <w:t xml:space="preserve">Unlike most apologetics books that relegate original-language work to footnotes, Bell integrates word studies as structural load-bearing elements. </w:t>
      </w:r>
      <w:r>
        <w:rPr>
          <w:rFonts w:ascii="Arial" w:cs="Arial" w:eastAsia="Arial" w:hAnsi="Arial"/>
          <w:b/>
          <w:bCs/>
          <w:sz w:val="22"/>
          <w:szCs w:val="22"/>
        </w:rPr>
        <w:t xml:space="preserve">Pistis</w:t>
      </w:r>
      <w:r>
        <w:rPr>
          <w:rFonts w:ascii="Arial" w:cs="Arial" w:eastAsia="Arial" w:hAnsi="Arial"/>
          <w:b w:val="false"/>
          <w:bCs w:val="false"/>
          <w:sz w:val="22"/>
          <w:szCs w:val="22"/>
        </w:rPr>
        <w:t xml:space="preserve"> as warranted trust, </w:t>
      </w:r>
      <w:r>
        <w:rPr>
          <w:rFonts w:ascii="Arial" w:cs="Arial" w:eastAsia="Arial" w:hAnsi="Arial"/>
          <w:b/>
          <w:bCs/>
          <w:sz w:val="22"/>
          <w:szCs w:val="22"/>
        </w:rPr>
        <w:t xml:space="preserve">hypostasis</w:t>
      </w:r>
      <w:r>
        <w:rPr>
          <w:rFonts w:ascii="Arial" w:cs="Arial" w:eastAsia="Arial" w:hAnsi="Arial"/>
          <w:b w:val="false"/>
          <w:bCs w:val="false"/>
          <w:sz w:val="22"/>
          <w:szCs w:val="22"/>
        </w:rPr>
        <w:t xml:space="preserve"> as title deed, </w:t>
      </w:r>
      <w:r>
        <w:rPr>
          <w:rFonts w:ascii="Arial" w:cs="Arial" w:eastAsia="Arial" w:hAnsi="Arial"/>
          <w:b/>
          <w:bCs/>
          <w:sz w:val="22"/>
          <w:szCs w:val="22"/>
        </w:rPr>
        <w:t xml:space="preserve">hilasterion</w:t>
      </w:r>
      <w:r>
        <w:rPr>
          <w:rFonts w:ascii="Arial" w:cs="Arial" w:eastAsia="Arial" w:hAnsi="Arial"/>
          <w:b w:val="false"/>
          <w:bCs w:val="false"/>
          <w:sz w:val="22"/>
          <w:szCs w:val="22"/>
        </w:rPr>
        <w:t xml:space="preserve"> as mercy seat, </w:t>
      </w:r>
      <w:r>
        <w:rPr>
          <w:rFonts w:ascii="Arial" w:cs="Arial" w:eastAsia="Arial" w:hAnsi="Arial"/>
          <w:b/>
          <w:bCs/>
          <w:sz w:val="22"/>
          <w:szCs w:val="22"/>
        </w:rPr>
        <w:t xml:space="preserve">tetelestai</w:t>
      </w:r>
      <w:r>
        <w:rPr>
          <w:rFonts w:ascii="Arial" w:cs="Arial" w:eastAsia="Arial" w:hAnsi="Arial"/>
          <w:b w:val="false"/>
          <w:bCs w:val="false"/>
          <w:sz w:val="22"/>
          <w:szCs w:val="22"/>
        </w:rPr>
        <w:t xml:space="preserve"> as commercial term for paid-in-full, </w:t>
      </w:r>
      <w:r>
        <w:rPr>
          <w:rFonts w:ascii="Arial" w:cs="Arial" w:eastAsia="Arial" w:hAnsi="Arial"/>
          <w:b/>
          <w:bCs/>
          <w:sz w:val="22"/>
          <w:szCs w:val="22"/>
        </w:rPr>
        <w:t xml:space="preserve">metanoia/pistis/hypakoē</w:t>
      </w:r>
      <w:r>
        <w:rPr>
          <w:rFonts w:ascii="Arial" w:cs="Arial" w:eastAsia="Arial" w:hAnsi="Arial"/>
          <w:b w:val="false"/>
          <w:bCs w:val="false"/>
          <w:sz w:val="22"/>
          <w:szCs w:val="22"/>
        </w:rPr>
        <w:t xml:space="preserve"> as the three-faceted turning in chapter 12—these are not decorative. They are the hinges on which arguments turn. This gives the book a scholarly texture without sacrificing accessibility.</w:t>
      </w:r>
    </w:p>
    <w:p>
      <w:pPr>
        <w:pStyle w:val="Heading2"/>
        <w:spacing w:after="120" w:before="240"/>
      </w:pPr>
      <w:r>
        <w:rPr>
          <w:rFonts w:ascii="Arial" w:cs="Arial" w:eastAsia="Arial" w:hAnsi="Arial"/>
          <w:b/>
          <w:bCs/>
          <w:color w:val="1A1A1A"/>
          <w:sz w:val="26"/>
          <w:szCs w:val="26"/>
        </w:rPr>
        <w:t xml:space="preserve">3. The Former-Atheist Perspective</w:t>
      </w:r>
    </w:p>
    <w:p>
      <w:pPr>
        <w:spacing w:after="120" w:before="120" w:line="320"/>
        <w:jc w:val="left"/>
      </w:pPr>
      <w:r>
        <w:rPr>
          <w:rFonts w:ascii="Arial" w:cs="Arial" w:eastAsia="Arial" w:hAnsi="Arial"/>
          <w:b w:val="false"/>
          <w:bCs w:val="false"/>
          <w:sz w:val="22"/>
          <w:szCs w:val="22"/>
        </w:rPr>
        <w:t xml:space="preserve">Bell’s autobiography—raised without a father, atheist through high school, converted through evidence and honest conversation—gives this book an authority most apologetics authors lack. He knows the inside of genuine doubt. He does not caricature the skeptic. His treatment of Nietzsche, Camus, Russell, and Sartre in chapter 10 demonstrates genuine philosophical engagement, not the straw-manning typical of the genre.</w:t>
      </w:r>
    </w:p>
    <w:p>
      <w:pPr>
        <w:pStyle w:val="Heading2"/>
        <w:spacing w:after="120" w:before="240"/>
      </w:pPr>
      <w:r>
        <w:rPr>
          <w:rFonts w:ascii="Arial" w:cs="Arial" w:eastAsia="Arial" w:hAnsi="Arial"/>
          <w:b/>
          <w:bCs/>
          <w:color w:val="1A1A1A"/>
          <w:sz w:val="26"/>
          <w:szCs w:val="26"/>
        </w:rPr>
        <w:t xml:space="preserve">4. Courtroom Architecture</w:t>
      </w:r>
    </w:p>
    <w:p>
      <w:pPr>
        <w:spacing w:after="120" w:before="120" w:line="320"/>
        <w:jc w:val="left"/>
      </w:pPr>
      <w:r>
        <w:rPr>
          <w:rFonts w:ascii="Arial" w:cs="Arial" w:eastAsia="Arial" w:hAnsi="Arial"/>
          <w:b w:val="false"/>
          <w:bCs w:val="false"/>
          <w:sz w:val="22"/>
          <w:szCs w:val="22"/>
        </w:rPr>
        <w:t xml:space="preserve">The four-part structure mirrors an actual legal case: establish the foundation (chapters 1–3), present the person (chapters 4–6), answer objections (chapters 7–9), and deliver the verdict (chapters 10–12). This gives the reader a sense of building momentum. Each chapter genuinely depends on the one before it. The cumulative case methodology is deployed competently and acknowledged transparently—Bell admits no single argument is decisive and stakes his case on their convergence.</w:t>
      </w:r>
    </w:p>
    <w:p>
      <w:pPr>
        <w:pStyle w:val="Heading2"/>
        <w:spacing w:after="120" w:before="240"/>
      </w:pPr>
      <w:r>
        <w:rPr>
          <w:rFonts w:ascii="Arial" w:cs="Arial" w:eastAsia="Arial" w:hAnsi="Arial"/>
          <w:b/>
          <w:bCs/>
          <w:color w:val="1A1A1A"/>
          <w:sz w:val="26"/>
          <w:szCs w:val="26"/>
        </w:rPr>
        <w:t xml:space="preserve">5. Pastoral Honesty on Hard Doctrines</w:t>
      </w:r>
    </w:p>
    <w:p>
      <w:pPr>
        <w:spacing w:after="120" w:before="120" w:line="320"/>
        <w:jc w:val="left"/>
      </w:pPr>
      <w:r>
        <w:rPr>
          <w:rFonts w:ascii="Arial" w:cs="Arial" w:eastAsia="Arial" w:hAnsi="Arial"/>
          <w:b w:val="false"/>
          <w:bCs w:val="false"/>
          <w:sz w:val="22"/>
          <w:szCs w:val="22"/>
        </w:rPr>
        <w:t xml:space="preserve">The treatment of hell (chapter 6) is one of the manuscript’s high points. Bell presents three views on the eternality of hell (eternal conscious torment, conditional immortality, hopeful universalism) with genuine fairness, states his own position with appropriate trembling, and connects the doctrine to the cross in a way that is theologically precise and emotionally resonant. The suffering chapter (chapter 5/7) begins with pastoral experience before reaching for philosophical tools—the right order.</w:t>
      </w:r>
    </w:p>
    <w:p>
      <w:r>
        <w:br w:type="page"/>
      </w:r>
    </w:p>
    <w:p>
      <w:pPr>
        <w:pStyle w:val="Heading1"/>
        <w:spacing w:after="120" w:before="360"/>
      </w:pPr>
      <w:r>
        <w:rPr>
          <w:rFonts w:ascii="Arial" w:cs="Arial" w:eastAsia="Arial" w:hAnsi="Arial"/>
          <w:b/>
          <w:bCs/>
          <w:color w:val="E8600A"/>
          <w:sz w:val="32"/>
          <w:szCs w:val="32"/>
        </w:rPr>
        <w:t xml:space="preserve">IV. Critical Issues Requiring Revision</w:t>
      </w:r>
    </w:p>
    <w:p>
      <w:pPr>
        <w:pStyle w:val="Heading2"/>
        <w:spacing w:after="120" w:before="240"/>
      </w:pPr>
      <w:r>
        <w:rPr>
          <w:rFonts w:ascii="Arial" w:cs="Arial" w:eastAsia="Arial" w:hAnsi="Arial"/>
          <w:b/>
          <w:bCs/>
          <w:color w:val="1A1A1A"/>
          <w:sz w:val="26"/>
          <w:szCs w:val="26"/>
        </w:rPr>
        <w:t xml:space="preserve">Issue 1: Two-Pass Composition Seam</w:t>
      </w:r>
    </w:p>
    <w:p>
      <w:pPr>
        <w:spacing w:after="120" w:before="120" w:line="320"/>
        <w:jc w:val="left"/>
      </w:pPr>
      <w:r>
        <w:rPr>
          <w:rFonts w:ascii="Arial" w:cs="Arial" w:eastAsia="Arial" w:hAnsi="Arial"/>
          <w:b w:val="false"/>
          <w:bCs w:val="false"/>
          <w:sz w:val="22"/>
          <w:szCs w:val="22"/>
        </w:rPr>
        <w:t xml:space="preserve">The manuscript was composed in two passes: base chapters (~40,000 words) followed by extension modules (~31,000 words). In several chapters, the seam between the two passes is visible. The extensions occasionally restate conclusions already reached in the base, creating a sense of the argument circling rather than advancing. Chapters 9, 10, and 11 are most affected.</w:t>
      </w:r>
    </w:p>
    <w:p>
      <w:pPr>
        <w:spacing w:after="120" w:before="120" w:line="320"/>
        <w:ind w:left="360"/>
        <w:jc w:val="left"/>
      </w:pPr>
      <w:r>
        <w:rPr>
          <w:rFonts w:ascii="Arial" w:cs="Arial" w:eastAsia="Arial" w:hAnsi="Arial"/>
          <w:b/>
          <w:bCs/>
          <w:sz w:val="22"/>
          <w:szCs w:val="22"/>
        </w:rPr>
        <w:t xml:space="preserve">Recommendation:</w:t>
      </w:r>
      <w:r>
        <w:rPr>
          <w:rFonts w:ascii="Arial" w:cs="Arial" w:eastAsia="Arial" w:hAnsi="Arial"/>
          <w:b w:val="false"/>
          <w:bCs w:val="false"/>
          <w:sz w:val="22"/>
          <w:szCs w:val="22"/>
        </w:rPr>
        <w:t xml:space="preserve"> A full integration pass in which each chapter is rewritten as a single continuous argument, using both the base and extension material as raw material. This is the single most important revision task. Estimated impact: 15–20% improvement in reading experience.</w:t>
      </w:r>
    </w:p>
    <w:p>
      <w:pPr>
        <w:pStyle w:val="Heading2"/>
        <w:spacing w:after="120" w:before="240"/>
      </w:pPr>
      <w:r>
        <w:rPr>
          <w:rFonts w:ascii="Arial" w:cs="Arial" w:eastAsia="Arial" w:hAnsi="Arial"/>
          <w:b/>
          <w:bCs/>
          <w:color w:val="1A1A1A"/>
          <w:sz w:val="26"/>
          <w:szCs w:val="26"/>
        </w:rPr>
        <w:t xml:space="preserve">Issue 2: Repetition Across Chapters</w:t>
      </w:r>
    </w:p>
    <w:p>
      <w:pPr>
        <w:spacing w:after="120" w:before="120" w:line="320"/>
        <w:jc w:val="left"/>
      </w:pPr>
      <w:r>
        <w:rPr>
          <w:rFonts w:ascii="Arial" w:cs="Arial" w:eastAsia="Arial" w:hAnsi="Arial"/>
          <w:b w:val="false"/>
          <w:bCs w:val="false"/>
          <w:sz w:val="22"/>
          <w:szCs w:val="22"/>
        </w:rPr>
        <w:t xml:space="preserve">Several formulations recur across multiple chapters to the point of diminishing returns. The phrase “borrowed capital” appears in at least four chapters. The Lewis moral-argument paragraph (crooked line / straight line) is restated in chapters 1, 5, and 10. Tom Holland’s </w:t>
      </w:r>
      <w:r>
        <w:rPr>
          <w:rFonts w:ascii="Arial" w:cs="Arial" w:eastAsia="Arial" w:hAnsi="Arial"/>
          <w:b/>
          <w:bCs/>
          <w:sz w:val="22"/>
          <w:szCs w:val="22"/>
        </w:rPr>
        <w:t xml:space="preserve">Dominion</w:t>
      </w:r>
      <w:r>
        <w:rPr>
          <w:rFonts w:ascii="Arial" w:cs="Arial" w:eastAsia="Arial" w:hAnsi="Arial"/>
          <w:b w:val="false"/>
          <w:bCs w:val="false"/>
          <w:sz w:val="22"/>
          <w:szCs w:val="22"/>
        </w:rPr>
        <w:t xml:space="preserve"> thesis appears in chapters 9, 10, and 11. Wilberforce and the abolitionists appear at least three times. The repetition creates rhetorical momentum early but produces fatigue by the final third.</w:t>
      </w:r>
    </w:p>
    <w:p>
      <w:pPr>
        <w:spacing w:after="120" w:before="120" w:line="320"/>
        <w:ind w:left="360"/>
        <w:jc w:val="left"/>
      </w:pPr>
      <w:r>
        <w:rPr>
          <w:rFonts w:ascii="Arial" w:cs="Arial" w:eastAsia="Arial" w:hAnsi="Arial"/>
          <w:b/>
          <w:bCs/>
          <w:sz w:val="22"/>
          <w:szCs w:val="22"/>
        </w:rPr>
        <w:t xml:space="preserve">Recommendation:</w:t>
      </w:r>
      <w:r>
        <w:rPr>
          <w:rFonts w:ascii="Arial" w:cs="Arial" w:eastAsia="Arial" w:hAnsi="Arial"/>
          <w:b w:val="false"/>
          <w:bCs w:val="false"/>
          <w:sz w:val="22"/>
          <w:szCs w:val="22"/>
        </w:rPr>
        <w:t xml:space="preserve"> Assign each key illustration or citation a single primary home. In subsequent chapters, reference it briefly (“as we saw in chapter 3”) rather than restating it. This will recover 3,000–4,000 words of space that can be redirected to underserved areas.</w:t>
      </w:r>
    </w:p>
    <w:p>
      <w:pPr>
        <w:pStyle w:val="Heading2"/>
        <w:spacing w:after="120" w:before="240"/>
      </w:pPr>
      <w:r>
        <w:rPr>
          <w:rFonts w:ascii="Arial" w:cs="Arial" w:eastAsia="Arial" w:hAnsi="Arial"/>
          <w:b/>
          <w:bCs/>
          <w:color w:val="1A1A1A"/>
          <w:sz w:val="26"/>
          <w:szCs w:val="26"/>
        </w:rPr>
        <w:t xml:space="preserve">Issue 3: Unvaried Voice Register</w:t>
      </w:r>
    </w:p>
    <w:p>
      <w:pPr>
        <w:spacing w:after="120" w:before="120" w:line="320"/>
        <w:jc w:val="left"/>
      </w:pPr>
      <w:r>
        <w:rPr>
          <w:rFonts w:ascii="Arial" w:cs="Arial" w:eastAsia="Arial" w:hAnsi="Arial"/>
          <w:b w:val="false"/>
          <w:bCs w:val="false"/>
          <w:sz w:val="22"/>
          <w:szCs w:val="22"/>
        </w:rPr>
        <w:t xml:space="preserve">The author’s CLAUDE.md identifies four voice registers: prophetic/direct, pastoral/warm, intellectual/curious, and vulnerable/honest. The manuscript deploys the prophetic register as its default across nearly all twelve chapters. The pastoral register appears in strong moments (chapter 5 opening, chapter 12 prodigal treatment). The intellectual/curious register appears primarily in the extensions (Camus, Hick, Frankl). The vulnerable/honest register—the one that admits what the author does not know—is underrepresented.</w:t>
      </w:r>
    </w:p>
    <w:p>
      <w:pPr>
        <w:spacing w:after="120" w:before="120" w:line="320"/>
        <w:ind w:left="360"/>
        <w:jc w:val="left"/>
      </w:pPr>
      <w:r>
        <w:rPr>
          <w:rFonts w:ascii="Arial" w:cs="Arial" w:eastAsia="Arial" w:hAnsi="Arial"/>
          <w:b/>
          <w:bCs/>
          <w:sz w:val="22"/>
          <w:szCs w:val="22"/>
        </w:rPr>
        <w:t xml:space="preserve">Recommendation:</w:t>
      </w:r>
      <w:r>
        <w:rPr>
          <w:rFonts w:ascii="Arial" w:cs="Arial" w:eastAsia="Arial" w:hAnsi="Arial"/>
          <w:b w:val="false"/>
          <w:bCs w:val="false"/>
          <w:sz w:val="22"/>
          <w:szCs w:val="22"/>
        </w:rPr>
        <w:t xml:space="preserve"> Identify two or three chapters where the dominant register should shift. Chapter 7 (suffering) should lead with more vulnerability. Chapter 3 (God’s existence) could afford a more intellectually curious, exploratory tone. Chapter 12 should close with earned vulnerability, not prophetic declaration.</w:t>
      </w:r>
    </w:p>
    <w:p>
      <w:pPr>
        <w:pStyle w:val="Heading2"/>
        <w:spacing w:after="120" w:before="240"/>
      </w:pPr>
      <w:r>
        <w:rPr>
          <w:rFonts w:ascii="Arial" w:cs="Arial" w:eastAsia="Arial" w:hAnsi="Arial"/>
          <w:b/>
          <w:bCs/>
          <w:color w:val="1A1A1A"/>
          <w:sz w:val="26"/>
          <w:szCs w:val="26"/>
        </w:rPr>
        <w:t xml:space="preserve">Issue 4: Citation Gender Gap</w:t>
      </w:r>
    </w:p>
    <w:p>
      <w:pPr>
        <w:spacing w:after="120" w:before="120" w:line="320"/>
        <w:jc w:val="left"/>
      </w:pPr>
      <w:r>
        <w:rPr>
          <w:rFonts w:ascii="Arial" w:cs="Arial" w:eastAsia="Arial" w:hAnsi="Arial"/>
          <w:b w:val="false"/>
          <w:bCs w:val="false"/>
          <w:sz w:val="22"/>
          <w:szCs w:val="22"/>
        </w:rPr>
        <w:t xml:space="preserve">The manuscript cites approximately 60–70 thinkers, authors, and historical figures by name. Of these, zero are women in the main philosophical or theological argument. Flannery O’Connor is invoked as a stylistic influence but not cited. Joni Eareckson Tada appears in one sentence. Harriet Tubman and Sojourner Truth appear in a list. No woman’s argument is engaged at length.</w:t>
      </w:r>
    </w:p>
    <w:p>
      <w:pPr>
        <w:spacing w:after="120" w:before="120" w:line="320"/>
        <w:jc w:val="left"/>
      </w:pPr>
      <w:r>
        <w:rPr>
          <w:rFonts w:ascii="Arial" w:cs="Arial" w:eastAsia="Arial" w:hAnsi="Arial"/>
          <w:b w:val="false"/>
          <w:bCs w:val="false"/>
          <w:sz w:val="22"/>
          <w:szCs w:val="22"/>
        </w:rPr>
        <w:t xml:space="preserve">This is a significant gap for a book targeting a trade audience that includes women readers. The Christian tradition includes strong female voices in apologetics and theology: Eleonore Stump (philosophy of suffering), Marilyn McCord Adams (problem of evil), Sarah Coakley (philosophy of religion), Esther Meek (epistemology), Rebecca McLaughlin (popular apologetics), Karen Swallow Prior (literary apologetics).</w:t>
      </w:r>
    </w:p>
    <w:p>
      <w:pPr>
        <w:spacing w:after="120" w:before="120" w:line="320"/>
        <w:ind w:left="360"/>
        <w:jc w:val="left"/>
      </w:pPr>
      <w:r>
        <w:rPr>
          <w:rFonts w:ascii="Arial" w:cs="Arial" w:eastAsia="Arial" w:hAnsi="Arial"/>
          <w:b/>
          <w:bCs/>
          <w:sz w:val="22"/>
          <w:szCs w:val="22"/>
        </w:rPr>
        <w:t xml:space="preserve">Recommendation:</w:t>
      </w:r>
      <w:r>
        <w:rPr>
          <w:rFonts w:ascii="Arial" w:cs="Arial" w:eastAsia="Arial" w:hAnsi="Arial"/>
          <w:b w:val="false"/>
          <w:bCs w:val="false"/>
          <w:sz w:val="22"/>
          <w:szCs w:val="22"/>
        </w:rPr>
        <w:t xml:space="preserve"> Integrate at least 3–5 women thinkers into the main argument—not as an addendum, but as substantive intellectual interlocutors. Stump in chapter 5/7 (suffering), Adams in chapter 6 (hell/evil), McLaughlin in chapter 11 (objections).</w:t>
      </w:r>
    </w:p>
    <w:p>
      <w:pPr>
        <w:pStyle w:val="Heading2"/>
        <w:spacing w:after="120" w:before="240"/>
      </w:pPr>
      <w:r>
        <w:rPr>
          <w:rFonts w:ascii="Arial" w:cs="Arial" w:eastAsia="Arial" w:hAnsi="Arial"/>
          <w:b/>
          <w:bCs/>
          <w:color w:val="1A1A1A"/>
          <w:sz w:val="26"/>
          <w:szCs w:val="26"/>
        </w:rPr>
        <w:t xml:space="preserve">Issue 5: Chapter 11 Structural Weakness</w:t>
      </w:r>
    </w:p>
    <w:p>
      <w:pPr>
        <w:spacing w:after="120" w:before="120" w:line="320"/>
        <w:jc w:val="left"/>
      </w:pPr>
      <w:r>
        <w:rPr>
          <w:rFonts w:ascii="Arial" w:cs="Arial" w:eastAsia="Arial" w:hAnsi="Arial"/>
          <w:b w:val="false"/>
          <w:bCs w:val="false"/>
          <w:sz w:val="22"/>
          <w:szCs w:val="22"/>
        </w:rPr>
        <w:t xml:space="preserve">Chapter 11 (“Every Objection Answered”) is the weakest chapter in the manuscript. It attempts to address eight objections in the base and six more in the extension, covering violence, slavery, wishful thinking, sexual ethics, hypocrisy, faith-as-blind, miracles, personal suffering, intellectual suppression, social regression, Canaanite conquest, slavery redux, prayer, and hypocrisy redux. This is too many objections for one chapter. The result is that several receive surface treatment when they deserve depth.</w:t>
      </w:r>
    </w:p>
    <w:p>
      <w:pPr>
        <w:spacing w:after="120" w:before="120" w:line="320"/>
        <w:ind w:left="360"/>
        <w:jc w:val="left"/>
      </w:pPr>
      <w:r>
        <w:rPr>
          <w:rFonts w:ascii="Arial" w:cs="Arial" w:eastAsia="Arial" w:hAnsi="Arial"/>
          <w:b/>
          <w:bCs/>
          <w:sz w:val="22"/>
          <w:szCs w:val="22"/>
        </w:rPr>
        <w:t xml:space="preserve">Recommendation:</w:t>
      </w:r>
      <w:r>
        <w:rPr>
          <w:rFonts w:ascii="Arial" w:cs="Arial" w:eastAsia="Arial" w:hAnsi="Arial"/>
          <w:b w:val="false"/>
          <w:bCs w:val="false"/>
          <w:sz w:val="22"/>
          <w:szCs w:val="22"/>
        </w:rPr>
        <w:t xml:space="preserve"> Reduce to six objections treated with full depth. Move the Canaanite conquest treatment to chapter 2 (Bible reliability) where it fits more naturally. Move the science-related objections to chapter 7 where they already have a home. The sexual ethics objection deserves its own extended treatment or removal—the current treatment is too compressed to be either convincing or pastorally responsible.</w:t>
      </w:r>
    </w:p>
    <w:p>
      <w:pPr>
        <w:pStyle w:val="Heading2"/>
        <w:spacing w:after="120" w:before="240"/>
      </w:pPr>
      <w:r>
        <w:rPr>
          <w:rFonts w:ascii="Arial" w:cs="Arial" w:eastAsia="Arial" w:hAnsi="Arial"/>
          <w:b/>
          <w:bCs/>
          <w:color w:val="1A1A1A"/>
          <w:sz w:val="26"/>
          <w:szCs w:val="26"/>
        </w:rPr>
        <w:t xml:space="preserve">Issue 6: Origin Story Told, Not Shown</w:t>
      </w:r>
    </w:p>
    <w:p>
      <w:pPr>
        <w:spacing w:after="120" w:before="120" w:line="320"/>
        <w:jc w:val="left"/>
      </w:pPr>
      <w:r>
        <w:rPr>
          <w:rFonts w:ascii="Arial" w:cs="Arial" w:eastAsia="Arial" w:hAnsi="Arial"/>
          <w:b w:val="false"/>
          <w:bCs w:val="false"/>
          <w:sz w:val="22"/>
          <w:szCs w:val="22"/>
        </w:rPr>
        <w:t xml:space="preserve">The author’s conversion story—atheist, fatherless, football injury, college roommate, slow evidence-based conversion—is mentioned in the introduction and referenced throughout, but never narrated in full. The reader is told about the conversion but never taken inside it. For a book whose primary competitive advantage is the author’s biographical authority, this is a missed opportunity.</w:t>
      </w:r>
    </w:p>
    <w:p>
      <w:pPr>
        <w:spacing w:after="120" w:before="120" w:line="320"/>
        <w:ind w:left="360"/>
        <w:jc w:val="left"/>
      </w:pPr>
      <w:r>
        <w:rPr>
          <w:rFonts w:ascii="Arial" w:cs="Arial" w:eastAsia="Arial" w:hAnsi="Arial"/>
          <w:b/>
          <w:bCs/>
          <w:sz w:val="22"/>
          <w:szCs w:val="22"/>
        </w:rPr>
        <w:t xml:space="preserve">Recommendation:</w:t>
      </w:r>
      <w:r>
        <w:rPr>
          <w:rFonts w:ascii="Arial" w:cs="Arial" w:eastAsia="Arial" w:hAnsi="Arial"/>
          <w:b w:val="false"/>
          <w:bCs w:val="false"/>
          <w:sz w:val="22"/>
          <w:szCs w:val="22"/>
        </w:rPr>
        <w:t xml:space="preserve"> Either expand the introduction by 2,000–3,000 words to include the full conversion narrative, or create a prologue that functions as the book’s narrative hook. The reader should meet the nineteen-year-old atheist James Bell before they meet the pastor. This is the single most effective way to differentiate the book in a crowded market.</w:t>
      </w:r>
    </w:p>
    <w:p>
      <w:pPr>
        <w:pStyle w:val="Heading2"/>
        <w:spacing w:after="120" w:before="240"/>
      </w:pPr>
      <w:r>
        <w:rPr>
          <w:rFonts w:ascii="Arial" w:cs="Arial" w:eastAsia="Arial" w:hAnsi="Arial"/>
          <w:b/>
          <w:bCs/>
          <w:color w:val="1A1A1A"/>
          <w:sz w:val="26"/>
          <w:szCs w:val="26"/>
        </w:rPr>
        <w:t xml:space="preserve">Issue 7: Word Count Deficit</w:t>
      </w:r>
    </w:p>
    <w:p>
      <w:pPr>
        <w:spacing w:after="120" w:before="120" w:line="320"/>
        <w:jc w:val="left"/>
      </w:pPr>
      <w:r>
        <w:rPr>
          <w:rFonts w:ascii="Arial" w:cs="Arial" w:eastAsia="Arial" w:hAnsi="Arial"/>
          <w:b w:val="false"/>
          <w:bCs w:val="false"/>
          <w:sz w:val="22"/>
          <w:szCs w:val="22"/>
        </w:rPr>
        <w:t xml:space="preserve">The manuscript stands at approximately 70,800 words against a target of 80,000. The 9,200-word deficit is meaningful for trade publication, where shelf expectations for a book of this ambition run 75,000–90,000 words.</w:t>
      </w:r>
    </w:p>
    <w:p>
      <w:pPr>
        <w:spacing w:after="120" w:before="120" w:line="320"/>
        <w:ind w:left="360"/>
        <w:jc w:val="left"/>
      </w:pPr>
      <w:r>
        <w:rPr>
          <w:rFonts w:ascii="Arial" w:cs="Arial" w:eastAsia="Arial" w:hAnsi="Arial"/>
          <w:b/>
          <w:bCs/>
          <w:sz w:val="22"/>
          <w:szCs w:val="22"/>
        </w:rPr>
        <w:t xml:space="preserve">Recommendation:</w:t>
      </w:r>
      <w:r>
        <w:rPr>
          <w:rFonts w:ascii="Arial" w:cs="Arial" w:eastAsia="Arial" w:hAnsi="Arial"/>
          <w:b w:val="false"/>
          <w:bCs w:val="false"/>
          <w:sz w:val="22"/>
          <w:szCs w:val="22"/>
        </w:rPr>
        <w:t xml:space="preserve"> Allocate the additional words as follows: (a) 2,500–3,000 words for the expanded origin narrative (see Issue 6); (b) 2,000 words for deepening chapter 2’s treatment of Old Testament textual difficulties (the manuscript handles NT manuscript evidence superbly but gives the OT shorter treatment); (c) 2,000 words for chapter 7 on suffering, which should be the longest chapter in the book given that suffering is the single most common reason people reject Christianity; (d) 2,000–2,500 words distributed across the integration pass to smooth transitions and eliminate abruptness at base/extension seams.</w:t>
      </w:r>
    </w:p>
    <w:p>
      <w:pPr>
        <w:pStyle w:val="Heading2"/>
        <w:spacing w:after="120" w:before="240"/>
      </w:pPr>
      <w:r>
        <w:rPr>
          <w:rFonts w:ascii="Arial" w:cs="Arial" w:eastAsia="Arial" w:hAnsi="Arial"/>
          <w:b/>
          <w:bCs/>
          <w:color w:val="1A1A1A"/>
          <w:sz w:val="26"/>
          <w:szCs w:val="26"/>
        </w:rPr>
        <w:t xml:space="preserve">Issue 8: Chapter 12 Closing Too Clean</w:t>
      </w:r>
    </w:p>
    <w:p>
      <w:pPr>
        <w:spacing w:after="120" w:before="120" w:line="320"/>
        <w:jc w:val="left"/>
      </w:pPr>
      <w:r>
        <w:rPr>
          <w:rFonts w:ascii="Arial" w:cs="Arial" w:eastAsia="Arial" w:hAnsi="Arial"/>
          <w:b w:val="false"/>
          <w:bCs w:val="false"/>
          <w:sz w:val="22"/>
          <w:szCs w:val="22"/>
        </w:rPr>
        <w:t xml:space="preserve">Chapter 12 contains both a base version and an extension version of the closing appeal, including two separate prayers. The base version includes a sample prayer and a “what to do next” section. The extension version includes a second, longer prayer and a “pastor’s last word.” The duplication is a direct artifact of the two-pass composition. More importantly, the inclusion of two sinner’s prayers in the body text risks the “transactional conversion” problem the extension explicitly warns against.</w:t>
      </w:r>
    </w:p>
    <w:p>
      <w:pPr>
        <w:spacing w:after="120" w:before="120" w:line="320"/>
        <w:ind w:left="360"/>
        <w:jc w:val="left"/>
      </w:pPr>
      <w:r>
        <w:rPr>
          <w:rFonts w:ascii="Arial" w:cs="Arial" w:eastAsia="Arial" w:hAnsi="Arial"/>
          <w:b/>
          <w:bCs/>
          <w:sz w:val="22"/>
          <w:szCs w:val="22"/>
        </w:rPr>
        <w:t xml:space="preserve">Recommendation:</w:t>
      </w:r>
      <w:r>
        <w:rPr>
          <w:rFonts w:ascii="Arial" w:cs="Arial" w:eastAsia="Arial" w:hAnsi="Arial"/>
          <w:b w:val="false"/>
          <w:bCs w:val="false"/>
          <w:sz w:val="22"/>
          <w:szCs w:val="22"/>
        </w:rPr>
        <w:t xml:space="preserve"> Merge into a single closing movement. Keep the extension’s nuanced treatment of prayer (“the words themselves are not magic”). Move the prayer itself to a brief appendix or set it off typographically as optional. End the final chapter with the “Come in” line, which is the strongest closing sentence in the manuscript. Do not follow it with anything.</w:t>
      </w:r>
    </w:p>
    <w:p>
      <w:r>
        <w:br w:type="page"/>
      </w:r>
    </w:p>
    <w:p>
      <w:pPr>
        <w:pStyle w:val="Heading1"/>
        <w:spacing w:after="120" w:before="360"/>
      </w:pPr>
      <w:r>
        <w:rPr>
          <w:rFonts w:ascii="Arial" w:cs="Arial" w:eastAsia="Arial" w:hAnsi="Arial"/>
          <w:b/>
          <w:bCs/>
          <w:color w:val="E8600A"/>
          <w:sz w:val="32"/>
          <w:szCs w:val="32"/>
        </w:rPr>
        <w:t xml:space="preserve">V. Competitive Landscape &amp; Market Position</w:t>
      </w:r>
    </w:p>
    <w:p>
      <w:pPr>
        <w:spacing w:after="120" w:before="120" w:line="320"/>
        <w:jc w:val="left"/>
      </w:pPr>
      <w:r>
        <w:rPr>
          <w:rFonts w:ascii="Arial" w:cs="Arial" w:eastAsia="Arial" w:hAnsi="Arial"/>
          <w:b w:val="false"/>
          <w:bCs w:val="false"/>
          <w:sz w:val="22"/>
          <w:szCs w:val="22"/>
        </w:rPr>
        <w:t xml:space="preserve">The Christian apologetics market is mature and crowded. The following titles define the competitive set:</w:t>
      </w:r>
    </w:p>
    <w:p>
      <w:pPr>
        <w:pStyle w:val="Heading3"/>
        <w:spacing w:after="120" w:before="240"/>
      </w:pPr>
      <w:r>
        <w:rPr>
          <w:rFonts w:ascii="Arial" w:cs="Arial" w:eastAsia="Arial" w:hAnsi="Arial"/>
          <w:b/>
          <w:bCs/>
          <w:color w:val="1A1A1A"/>
          <w:sz w:val="22"/>
          <w:szCs w:val="22"/>
        </w:rPr>
        <w:t xml:space="preserve">Primary Competitors</w:t>
      </w:r>
    </w:p>
    <w:p>
      <w:pPr>
        <w:spacing w:after="120" w:before="120" w:line="320"/>
        <w:jc w:val="left"/>
      </w:pPr>
      <w:r>
        <w:rPr>
          <w:rFonts w:ascii="Arial" w:cs="Arial" w:eastAsia="Arial" w:hAnsi="Arial"/>
          <w:b/>
          <w:bCs/>
          <w:sz w:val="22"/>
          <w:szCs w:val="22"/>
        </w:rPr>
        <w:t xml:space="preserve">Timothy Keller, The Reason for God</w:t>
      </w:r>
      <w:r>
        <w:rPr>
          <w:rFonts w:ascii="Arial" w:cs="Arial" w:eastAsia="Arial" w:hAnsi="Arial"/>
          <w:b w:val="false"/>
          <w:bCs w:val="false"/>
          <w:sz w:val="22"/>
          <w:szCs w:val="22"/>
        </w:rPr>
        <w:t xml:space="preserve"> (2008)—The current market leader. Urbane, intellectually sophisticated, aimed at the secular New Yorker. Bell’s book is warmer, more pastoral, and more confessional than Keller. It also has more Greek/Hebrew depth. Keller’s advantage is polish and cultural currency. Bell’s advantage is emotional range and biographical authority.</w:t>
      </w:r>
    </w:p>
    <w:p>
      <w:pPr>
        <w:spacing w:after="120" w:before="120" w:line="320"/>
        <w:jc w:val="left"/>
      </w:pPr>
      <w:r>
        <w:rPr>
          <w:rFonts w:ascii="Arial" w:cs="Arial" w:eastAsia="Arial" w:hAnsi="Arial"/>
          <w:b/>
          <w:bCs/>
          <w:sz w:val="22"/>
          <w:szCs w:val="22"/>
        </w:rPr>
        <w:t xml:space="preserve">Lee Strobel, The Case for Christ</w:t>
      </w:r>
      <w:r>
        <w:rPr>
          <w:rFonts w:ascii="Arial" w:cs="Arial" w:eastAsia="Arial" w:hAnsi="Arial"/>
          <w:b w:val="false"/>
          <w:bCs w:val="false"/>
          <w:sz w:val="22"/>
          <w:szCs w:val="22"/>
        </w:rPr>
        <w:t xml:space="preserve"> (1998)—The investigative-journalist approach. Strobel interviews experts; Bell makes the arguments himself. Strobel is more accessible but shallower. Bell is denser but more rewarding.</w:t>
      </w:r>
    </w:p>
    <w:p>
      <w:pPr>
        <w:spacing w:after="120" w:before="120" w:line="320"/>
        <w:jc w:val="left"/>
      </w:pPr>
      <w:r>
        <w:rPr>
          <w:rFonts w:ascii="Arial" w:cs="Arial" w:eastAsia="Arial" w:hAnsi="Arial"/>
          <w:b/>
          <w:bCs/>
          <w:sz w:val="22"/>
          <w:szCs w:val="22"/>
        </w:rPr>
        <w:t xml:space="preserve">C.S. Lewis, Mere Christianity</w:t>
      </w:r>
      <w:r>
        <w:rPr>
          <w:rFonts w:ascii="Arial" w:cs="Arial" w:eastAsia="Arial" w:hAnsi="Arial"/>
          <w:b w:val="false"/>
          <w:bCs w:val="false"/>
          <w:sz w:val="22"/>
          <w:szCs w:val="22"/>
        </w:rPr>
        <w:t xml:space="preserve"> (1952)—The perennial classic. Bell is clearly influenced by Lewis (trilemma, moral argument, argument from desire). The risk is that readers will see Bell as derivative. The differentiator is Bell’s pastoral texture and contemporary cultural engagement, which Lewis, writing in the 1940s, could not provide.</w:t>
      </w:r>
    </w:p>
    <w:p>
      <w:pPr>
        <w:spacing w:after="120" w:before="120" w:line="320"/>
        <w:jc w:val="left"/>
      </w:pPr>
      <w:r>
        <w:rPr>
          <w:rFonts w:ascii="Arial" w:cs="Arial" w:eastAsia="Arial" w:hAnsi="Arial"/>
          <w:b/>
          <w:bCs/>
          <w:sz w:val="22"/>
          <w:szCs w:val="22"/>
        </w:rPr>
        <w:t xml:space="preserve">Rebecca McLaughlin, Confronting Christianity</w:t>
      </w:r>
      <w:r>
        <w:rPr>
          <w:rFonts w:ascii="Arial" w:cs="Arial" w:eastAsia="Arial" w:hAnsi="Arial"/>
          <w:b w:val="false"/>
          <w:bCs w:val="false"/>
          <w:sz w:val="22"/>
          <w:szCs w:val="22"/>
        </w:rPr>
        <w:t xml:space="preserve"> (2019)—The most successful recent entrant. McLaughlin addresses many of the same objections Bell does, from a female perspective, with particular strength on diversity and sexuality. Bell’s book is longer, denser, and more philosophically ambitious. McLaughlin’s is more culturally current and more diverse in its citations.</w:t>
      </w:r>
    </w:p>
    <w:p>
      <w:pPr>
        <w:pStyle w:val="Heading3"/>
        <w:spacing w:after="120" w:before="240"/>
      </w:pPr>
      <w:r>
        <w:rPr>
          <w:rFonts w:ascii="Arial" w:cs="Arial" w:eastAsia="Arial" w:hAnsi="Arial"/>
          <w:b/>
          <w:bCs/>
          <w:color w:val="1A1A1A"/>
          <w:sz w:val="22"/>
          <w:szCs w:val="22"/>
        </w:rPr>
        <w:t xml:space="preserve">Bell’s Differentiators</w:t>
      </w:r>
    </w:p>
    <w:p>
      <w:pPr>
        <w:spacing w:after="120" w:before="120" w:line="320"/>
        <w:jc w:val="left"/>
      </w:pPr>
      <w:r>
        <w:rPr>
          <w:rFonts w:ascii="Arial" w:cs="Arial" w:eastAsia="Arial" w:hAnsi="Arial"/>
          <w:b w:val="false"/>
          <w:bCs w:val="false"/>
          <w:sz w:val="22"/>
          <w:szCs w:val="22"/>
        </w:rPr>
        <w:t xml:space="preserve">Three features distinguish this manuscript from all competitors: (1) the former-atheist-turned-pastor biography, which gives the arguments an existential credibility none of the others can match; (2) the Greek/Hebrew word studies integrated as rhetorical spine rather than academic footnotes; and (3) the prophetic voice that refuses to make Christianity comfortable while also refusing to make it cold. No current apologetics title occupies this exact position.</w:t>
      </w:r>
    </w:p>
    <w:p>
      <w:pPr>
        <w:pStyle w:val="Heading3"/>
        <w:spacing w:after="120" w:before="240"/>
      </w:pPr>
      <w:r>
        <w:rPr>
          <w:rFonts w:ascii="Arial" w:cs="Arial" w:eastAsia="Arial" w:hAnsi="Arial"/>
          <w:b/>
          <w:bCs/>
          <w:color w:val="1A1A1A"/>
          <w:sz w:val="22"/>
          <w:szCs w:val="22"/>
        </w:rPr>
        <w:t xml:space="preserve">Target Audience</w:t>
      </w:r>
    </w:p>
    <w:p>
      <w:pPr>
        <w:spacing w:after="120" w:before="120" w:line="320"/>
        <w:jc w:val="left"/>
      </w:pPr>
      <w:r>
        <w:rPr>
          <w:rFonts w:ascii="Arial" w:cs="Arial" w:eastAsia="Arial" w:hAnsi="Arial"/>
          <w:b w:val="false"/>
          <w:bCs w:val="false"/>
          <w:sz w:val="22"/>
          <w:szCs w:val="22"/>
        </w:rPr>
        <w:t xml:space="preserve">Primary: Thoughtful skeptics and doubting Christians aged 25–55 who have been told Christianity is intellectually indefensible. Secondary: Pastors, small group leaders, and campus ministers who need a resource to hand to questioners. Tertiary: Seminary and Bible college students who want an accessible but substantive cumulative-case apologetics.</w:t>
      </w:r>
    </w:p>
    <w:p>
      <w:r>
        <w:br w:type="page"/>
      </w:r>
    </w:p>
    <w:p>
      <w:pPr>
        <w:pStyle w:val="Heading1"/>
        <w:spacing w:after="120" w:before="360"/>
      </w:pPr>
      <w:r>
        <w:rPr>
          <w:rFonts w:ascii="Arial" w:cs="Arial" w:eastAsia="Arial" w:hAnsi="Arial"/>
          <w:b/>
          <w:bCs/>
          <w:color w:val="E8600A"/>
          <w:sz w:val="32"/>
          <w:szCs w:val="32"/>
        </w:rPr>
        <w:t xml:space="preserve">VI. Chapter-by-Chapter Assessment</w:t>
      </w:r>
    </w:p>
    <w:p>
      <w:pPr>
        <w:pStyle w:val="Heading2"/>
        <w:spacing w:after="120" w:before="240"/>
      </w:pPr>
      <w:r>
        <w:rPr>
          <w:rFonts w:ascii="Arial" w:cs="Arial" w:eastAsia="Arial" w:hAnsi="Arial"/>
          <w:b/>
          <w:bCs/>
          <w:color w:val="1A1A1A"/>
          <w:sz w:val="26"/>
          <w:szCs w:val="26"/>
        </w:rPr>
        <w:t xml:space="preserve">Introduction</w:t>
      </w:r>
    </w:p>
    <w:p>
      <w:pPr>
        <w:spacing w:after="120" w:before="120" w:line="320"/>
        <w:jc w:val="left"/>
      </w:pPr>
      <w:r>
        <w:rPr>
          <w:rFonts w:ascii="Arial" w:cs="Arial" w:eastAsia="Arial" w:hAnsi="Arial"/>
          <w:b w:val="false"/>
          <w:bCs w:val="false"/>
          <w:sz w:val="22"/>
          <w:szCs w:val="22"/>
        </w:rPr>
        <w:t xml:space="preserve">Strong. The opening anecdote (son’s question on a winter road) is effective and personal. The three-audience address (skeptic, pressured Christian, searcher) is well-calibrated. The courtroom metaphor for the book’s structure is established clearly. The extension adds valuable meta-commentary (“What I Owe You,” “A Note to the Skeptic”). </w:t>
      </w:r>
      <w:r>
        <w:rPr>
          <w:rFonts w:ascii="Arial" w:cs="Arial" w:eastAsia="Arial" w:hAnsi="Arial"/>
          <w:b/>
          <w:bCs/>
          <w:sz w:val="22"/>
          <w:szCs w:val="22"/>
        </w:rPr>
        <w:t xml:space="preserve">Issue:</w:t>
      </w:r>
      <w:r>
        <w:rPr>
          <w:rFonts w:ascii="Arial" w:cs="Arial" w:eastAsia="Arial" w:hAnsi="Arial"/>
          <w:b w:val="false"/>
          <w:bCs w:val="false"/>
          <w:sz w:val="22"/>
          <w:szCs w:val="22"/>
        </w:rPr>
        <w:t xml:space="preserve"> The origin story is referenced but not narrated. Fix this and the introduction becomes a hook that sells the book.</w:t>
      </w:r>
    </w:p>
    <w:p>
      <w:pPr>
        <w:pStyle w:val="Heading2"/>
        <w:spacing w:after="120" w:before="240"/>
      </w:pPr>
      <w:r>
        <w:rPr>
          <w:rFonts w:ascii="Arial" w:cs="Arial" w:eastAsia="Arial" w:hAnsi="Arial"/>
          <w:b/>
          <w:bCs/>
          <w:color w:val="1A1A1A"/>
          <w:sz w:val="26"/>
          <w:szCs w:val="26"/>
        </w:rPr>
        <w:t xml:space="preserve">Chapter 1: Why Believe Anything?</w:t>
      </w:r>
    </w:p>
    <w:p>
      <w:pPr>
        <w:spacing w:after="120" w:before="120" w:line="320"/>
        <w:jc w:val="left"/>
      </w:pPr>
      <w:r>
        <w:rPr>
          <w:rFonts w:ascii="Arial" w:cs="Arial" w:eastAsia="Arial" w:hAnsi="Arial"/>
          <w:b w:val="false"/>
          <w:bCs w:val="false"/>
          <w:sz w:val="22"/>
          <w:szCs w:val="22"/>
        </w:rPr>
        <w:t xml:space="preserve">Strong. Kalam argument well-presented. Fine-tuning evidence is the chapter’s strongest section (Penrose calculation is devastating). Moral argument effectively bridges to the personal. Extension adds valuable philosophical depth (Hume’s backgammon, Kierkegaard’s bridge, myth of the neutral observer). </w:t>
      </w:r>
      <w:r>
        <w:rPr>
          <w:rFonts w:ascii="Arial" w:cs="Arial" w:eastAsia="Arial" w:hAnsi="Arial"/>
          <w:b/>
          <w:bCs/>
          <w:sz w:val="22"/>
          <w:szCs w:val="22"/>
        </w:rPr>
        <w:t xml:space="preserve">Issue:</w:t>
      </w:r>
      <w:r>
        <w:rPr>
          <w:rFonts w:ascii="Arial" w:cs="Arial" w:eastAsia="Arial" w:hAnsi="Arial"/>
          <w:b w:val="false"/>
          <w:bCs w:val="false"/>
          <w:sz w:val="22"/>
          <w:szCs w:val="22"/>
        </w:rPr>
        <w:t xml:space="preserve"> The base and extension overlap on pistis/hypostasis. Merge.</w:t>
      </w:r>
    </w:p>
    <w:p>
      <w:pPr>
        <w:pStyle w:val="Heading2"/>
        <w:spacing w:after="120" w:before="240"/>
      </w:pPr>
      <w:r>
        <w:rPr>
          <w:rFonts w:ascii="Arial" w:cs="Arial" w:eastAsia="Arial" w:hAnsi="Arial"/>
          <w:b/>
          <w:bCs/>
          <w:color w:val="1A1A1A"/>
          <w:sz w:val="26"/>
          <w:szCs w:val="26"/>
        </w:rPr>
        <w:t xml:space="preserve">Chapter 2: Is the Bible Reliable?</w:t>
      </w:r>
    </w:p>
    <w:p>
      <w:pPr>
        <w:spacing w:after="120" w:before="120" w:line="320"/>
        <w:jc w:val="left"/>
      </w:pPr>
      <w:r>
        <w:rPr>
          <w:rFonts w:ascii="Arial" w:cs="Arial" w:eastAsia="Arial" w:hAnsi="Arial"/>
          <w:b w:val="false"/>
          <w:bCs w:val="false"/>
          <w:sz w:val="22"/>
          <w:szCs w:val="22"/>
        </w:rPr>
        <w:t xml:space="preserve">Strong. Manuscript evidence is presented with appropriate specificity. Dead Sea Scrolls treatment is excellent. Archaeological confirmations are well-chosen. Prophecy section is the most controversial—the Daniel 9 / Sir Robert Anderson calculation will face scholarly pushback. Extension adds Ehrman rebuttal and Gospel of Thomas comparison. </w:t>
      </w:r>
      <w:r>
        <w:rPr>
          <w:rFonts w:ascii="Arial" w:cs="Arial" w:eastAsia="Arial" w:hAnsi="Arial"/>
          <w:b/>
          <w:bCs/>
          <w:sz w:val="22"/>
          <w:szCs w:val="22"/>
        </w:rPr>
        <w:t xml:space="preserve">Issue:</w:t>
      </w:r>
      <w:r>
        <w:rPr>
          <w:rFonts w:ascii="Arial" w:cs="Arial" w:eastAsia="Arial" w:hAnsi="Arial"/>
          <w:b w:val="false"/>
          <w:bCs w:val="false"/>
          <w:sz w:val="22"/>
          <w:szCs w:val="22"/>
        </w:rPr>
        <w:t xml:space="preserve"> Old Testament textual difficulties (Documentary Hypothesis, dating controversies) are not addressed. A sophisticated reader will notice the absence.</w:t>
      </w:r>
    </w:p>
    <w:p>
      <w:pPr>
        <w:pStyle w:val="Heading2"/>
        <w:spacing w:after="120" w:before="240"/>
      </w:pPr>
      <w:r>
        <w:rPr>
          <w:rFonts w:ascii="Arial" w:cs="Arial" w:eastAsia="Arial" w:hAnsi="Arial"/>
          <w:b/>
          <w:bCs/>
          <w:color w:val="1A1A1A"/>
          <w:sz w:val="26"/>
          <w:szCs w:val="26"/>
        </w:rPr>
        <w:t xml:space="preserve">Chapter 3: Does God Actually Exist? / Who Did Jesus Claim to Be?</w:t>
      </w:r>
    </w:p>
    <w:p>
      <w:pPr>
        <w:spacing w:after="120" w:before="120" w:line="320"/>
        <w:jc w:val="left"/>
      </w:pPr>
      <w:r>
        <w:rPr>
          <w:rFonts w:ascii="Arial" w:cs="Arial" w:eastAsia="Arial" w:hAnsi="Arial"/>
          <w:b w:val="false"/>
          <w:bCs w:val="false"/>
          <w:sz w:val="22"/>
          <w:szCs w:val="22"/>
        </w:rPr>
        <w:t xml:space="preserve">Note: The manuscript’s chapter numbering shifts between the build script and the content. Chapter 3 in the build script is labeled ‘Does God Actually Exist?’ but the content file (ch03.py) covers Jesus’ claims and the trilemma. This appears to be a labeling discrepancy in the build script’s part_page/chapter_title calls versus the actual content. </w:t>
      </w:r>
      <w:r>
        <w:rPr>
          <w:rFonts w:ascii="Arial" w:cs="Arial" w:eastAsia="Arial" w:hAnsi="Arial"/>
          <w:b/>
          <w:bCs/>
          <w:sz w:val="22"/>
          <w:szCs w:val="22"/>
        </w:rPr>
        <w:t xml:space="preserve">Issue:</w:t>
      </w:r>
      <w:r>
        <w:rPr>
          <w:rFonts w:ascii="Arial" w:cs="Arial" w:eastAsia="Arial" w:hAnsi="Arial"/>
          <w:b w:val="false"/>
          <w:bCs w:val="false"/>
          <w:sz w:val="22"/>
          <w:szCs w:val="22"/>
        </w:rPr>
        <w:t xml:space="preserve"> Verify chapter titles match content throughout. The current build assigns ‘Does God Actually Exist?’ to what is actually the Jesus-claims chapter.</w:t>
      </w:r>
    </w:p>
    <w:p>
      <w:pPr>
        <w:pStyle w:val="Heading2"/>
        <w:spacing w:after="120" w:before="240"/>
      </w:pPr>
      <w:r>
        <w:rPr>
          <w:rFonts w:ascii="Arial" w:cs="Arial" w:eastAsia="Arial" w:hAnsi="Arial"/>
          <w:b/>
          <w:bCs/>
          <w:color w:val="1A1A1A"/>
          <w:sz w:val="26"/>
          <w:szCs w:val="26"/>
        </w:rPr>
        <w:t xml:space="preserve">Chapters 4–6: Resurrection, Cross, Hell</w:t>
      </w:r>
    </w:p>
    <w:p>
      <w:pPr>
        <w:spacing w:after="120" w:before="120" w:line="320"/>
        <w:jc w:val="left"/>
      </w:pPr>
      <w:r>
        <w:rPr>
          <w:rFonts w:ascii="Arial" w:cs="Arial" w:eastAsia="Arial" w:hAnsi="Arial"/>
          <w:b w:val="false"/>
          <w:bCs w:val="false"/>
          <w:sz w:val="22"/>
          <w:szCs w:val="22"/>
        </w:rPr>
        <w:t xml:space="preserve">Chapters 4–5 (resurrection and suffering) are among the strongest in the manuscript. The minimal-facts approach is well-deployed. The suffering chapter’s pastoral opening earns the right to the philosophical argument that follows. Chapter 6 (hell) is the book’s bravest chapter—presenting three views with genuine fairness while holding a position. Extensions deepen all three effectively, especially the atonement-theories comparison in the cross extension and the Dostoevsky/Job material in the suffering extension.</w:t>
      </w:r>
    </w:p>
    <w:p>
      <w:pPr>
        <w:pStyle w:val="Heading2"/>
        <w:spacing w:after="120" w:before="240"/>
      </w:pPr>
      <w:r>
        <w:rPr>
          <w:rFonts w:ascii="Arial" w:cs="Arial" w:eastAsia="Arial" w:hAnsi="Arial"/>
          <w:b/>
          <w:bCs/>
          <w:color w:val="1A1A1A"/>
          <w:sz w:val="26"/>
          <w:szCs w:val="26"/>
        </w:rPr>
        <w:t xml:space="preserve">Chapters 7–9: Science, Unreached, Other Religions</w:t>
      </w:r>
    </w:p>
    <w:p>
      <w:pPr>
        <w:spacing w:after="120" w:before="120" w:line="320"/>
        <w:jc w:val="left"/>
      </w:pPr>
      <w:r>
        <w:rPr>
          <w:rFonts w:ascii="Arial" w:cs="Arial" w:eastAsia="Arial" w:hAnsi="Arial"/>
          <w:b w:val="false"/>
          <w:bCs w:val="false"/>
          <w:sz w:val="22"/>
          <w:szCs w:val="22"/>
        </w:rPr>
        <w:t xml:space="preserve">Chapter 7 (science) is competent but the least distinctive chapter in the book—the Draper-White debunking, the Galileo correction, and the science/scientism distinction are well-presented but widely available elsewhere. Chapters 8–9 are stronger. The unreached-peoples chapter is one of the most pastorally sensitive treatments in recent apologetics. The comparative-religion chapter benefits from the Hindu physician anecdote. Extensions add significant value: tolerance-trap analysis, Hick’s pluralist fork, grace as structural uniqueness.</w:t>
      </w:r>
    </w:p>
    <w:p>
      <w:pPr>
        <w:pStyle w:val="Heading2"/>
        <w:spacing w:after="120" w:before="240"/>
      </w:pPr>
      <w:r>
        <w:rPr>
          <w:rFonts w:ascii="Arial" w:cs="Arial" w:eastAsia="Arial" w:hAnsi="Arial"/>
          <w:b/>
          <w:bCs/>
          <w:color w:val="1A1A1A"/>
          <w:sz w:val="26"/>
          <w:szCs w:val="26"/>
        </w:rPr>
        <w:t xml:space="preserve">Chapters 10–12: Atheism, Objections, Verdict</w:t>
      </w:r>
    </w:p>
    <w:p>
      <w:pPr>
        <w:spacing w:after="120" w:before="120" w:line="320"/>
        <w:jc w:val="left"/>
      </w:pPr>
      <w:r>
        <w:rPr>
          <w:rFonts w:ascii="Arial" w:cs="Arial" w:eastAsia="Arial" w:hAnsi="Arial"/>
          <w:b w:val="false"/>
          <w:bCs w:val="false"/>
          <w:sz w:val="22"/>
          <w:szCs w:val="22"/>
        </w:rPr>
        <w:t xml:space="preserve">Chapter 10 is the book’s polemical peak—the treatment of Nietzsche, Camus, and Russell is philosophically serious. Chapter 11 is the weakest (see Issue 5 above). Chapter 12 has the emotional peak (prodigal father running) and the book’s strongest closing line (“Come in”) but suffers from the two-prayer duplication.</w:t>
      </w:r>
    </w:p>
    <w:p>
      <w:pPr>
        <w:pStyle w:val="Heading2"/>
        <w:spacing w:after="120" w:before="240"/>
      </w:pPr>
      <w:r>
        <w:rPr>
          <w:rFonts w:ascii="Arial" w:cs="Arial" w:eastAsia="Arial" w:hAnsi="Arial"/>
          <w:b/>
          <w:bCs/>
          <w:color w:val="1A1A1A"/>
          <w:sz w:val="26"/>
          <w:szCs w:val="26"/>
        </w:rPr>
        <w:t xml:space="preserve">Appendices</w:t>
      </w:r>
    </w:p>
    <w:p>
      <w:pPr>
        <w:spacing w:after="120" w:before="120" w:line="320"/>
        <w:jc w:val="left"/>
      </w:pPr>
      <w:r>
        <w:rPr>
          <w:rFonts w:ascii="Arial" w:cs="Arial" w:eastAsia="Arial" w:hAnsi="Arial"/>
          <w:b w:val="false"/>
          <w:bCs w:val="false"/>
          <w:sz w:val="22"/>
          <w:szCs w:val="22"/>
        </w:rPr>
        <w:t xml:space="preserve">All five appendices add genuine value. The Scripture Index is comprehensive. The Recommended Reading list is well-curated and helpfully graded by difficulty. The Greek/Hebrew Glossary is a unique feature that no comparable apologetics book offers. The Discussion Questions are well-crafted for small group use. The Conversation Guide (Appendix E) is the most pastorally valuable appendix—“Do Not Win” is advice most apologetics books fail to give.</w:t>
      </w:r>
    </w:p>
    <w:p>
      <w:r>
        <w:br w:type="page"/>
      </w:r>
    </w:p>
    <w:p>
      <w:pPr>
        <w:pStyle w:val="Heading1"/>
        <w:spacing w:after="120" w:before="360"/>
      </w:pPr>
      <w:r>
        <w:rPr>
          <w:rFonts w:ascii="Arial" w:cs="Arial" w:eastAsia="Arial" w:hAnsi="Arial"/>
          <w:b/>
          <w:bCs/>
          <w:color w:val="E8600A"/>
          <w:sz w:val="32"/>
          <w:szCs w:val="32"/>
        </w:rPr>
        <w:t xml:space="preserve">VII. Recommended Revision Roadmap</w:t>
      </w:r>
    </w:p>
    <w:p>
      <w:pPr>
        <w:spacing w:after="120" w:before="120" w:line="320"/>
        <w:jc w:val="left"/>
      </w:pPr>
      <w:r>
        <w:rPr>
          <w:rFonts w:ascii="Arial" w:cs="Arial" w:eastAsia="Arial" w:hAnsi="Arial"/>
          <w:b w:val="false"/>
          <w:bCs w:val="false"/>
          <w:sz w:val="22"/>
          <w:szCs w:val="22"/>
        </w:rPr>
        <w:t xml:space="preserve">The following revision plan is designed to be completed in a single focused pass of 4–6 weeks. Priority items are ranked by impact.</w:t>
      </w:r>
    </w:p>
    <w:p>
      <w:pPr>
        <w:pStyle w:val="Heading2"/>
        <w:spacing w:after="120" w:before="240"/>
      </w:pPr>
      <w:r>
        <w:rPr>
          <w:rFonts w:ascii="Arial" w:cs="Arial" w:eastAsia="Arial" w:hAnsi="Arial"/>
          <w:b/>
          <w:bCs/>
          <w:color w:val="1A1A1A"/>
          <w:sz w:val="26"/>
          <w:szCs w:val="26"/>
        </w:rPr>
        <w:t xml:space="preserve">Priority 1: Full Integration Pass (Week 1–2)</w:t>
      </w:r>
    </w:p>
    <w:p>
      <w:pPr>
        <w:spacing w:after="120" w:before="120" w:line="320"/>
        <w:jc w:val="left"/>
      </w:pPr>
      <w:r>
        <w:rPr>
          <w:rFonts w:ascii="Arial" w:cs="Arial" w:eastAsia="Arial" w:hAnsi="Arial"/>
          <w:b w:val="false"/>
          <w:bCs w:val="false"/>
          <w:sz w:val="22"/>
          <w:szCs w:val="22"/>
        </w:rPr>
        <w:t xml:space="preserve">Rewrite each chapter as a single continuous argument using base + extension as raw material. Eliminate the two-pass seam. Target net word count of 78,000–82,000 words after integration. This is the foundational revision—all other improvements build on it.</w:t>
      </w:r>
    </w:p>
    <w:p>
      <w:pPr>
        <w:pStyle w:val="Heading2"/>
        <w:spacing w:after="120" w:before="240"/>
      </w:pPr>
      <w:r>
        <w:rPr>
          <w:rFonts w:ascii="Arial" w:cs="Arial" w:eastAsia="Arial" w:hAnsi="Arial"/>
          <w:b/>
          <w:bCs/>
          <w:color w:val="1A1A1A"/>
          <w:sz w:val="26"/>
          <w:szCs w:val="26"/>
        </w:rPr>
        <w:t xml:space="preserve">Priority 2: Origin Story Expansion (Week 2)</w:t>
      </w:r>
    </w:p>
    <w:p>
      <w:pPr>
        <w:spacing w:after="120" w:before="120" w:line="320"/>
        <w:jc w:val="left"/>
      </w:pPr>
      <w:r>
        <w:rPr>
          <w:rFonts w:ascii="Arial" w:cs="Arial" w:eastAsia="Arial" w:hAnsi="Arial"/>
          <w:b w:val="false"/>
          <w:bCs w:val="false"/>
          <w:sz w:val="22"/>
          <w:szCs w:val="22"/>
        </w:rPr>
        <w:t xml:space="preserve">Expand introduction or add prologue with the full conversion narrative. 2,500–3,000 new words. This is the single highest-ROI content addition for market differentiation.</w:t>
      </w:r>
    </w:p>
    <w:p>
      <w:pPr>
        <w:pStyle w:val="Heading2"/>
        <w:spacing w:after="120" w:before="240"/>
      </w:pPr>
      <w:r>
        <w:rPr>
          <w:rFonts w:ascii="Arial" w:cs="Arial" w:eastAsia="Arial" w:hAnsi="Arial"/>
          <w:b/>
          <w:bCs/>
          <w:color w:val="1A1A1A"/>
          <w:sz w:val="26"/>
          <w:szCs w:val="26"/>
        </w:rPr>
        <w:t xml:space="preserve">Priority 3: Chapter 11 Restructure (Week 3)</w:t>
      </w:r>
    </w:p>
    <w:p>
      <w:pPr>
        <w:spacing w:after="120" w:before="120" w:line="320"/>
        <w:jc w:val="left"/>
      </w:pPr>
      <w:r>
        <w:rPr>
          <w:rFonts w:ascii="Arial" w:cs="Arial" w:eastAsia="Arial" w:hAnsi="Arial"/>
          <w:b w:val="false"/>
          <w:bCs w:val="false"/>
          <w:sz w:val="22"/>
          <w:szCs w:val="22"/>
        </w:rPr>
        <w:t xml:space="preserve">Reduce from 14 objections to 6, treated with full depth. Redistribute displaced material to chapters 2 and 7 where it fits naturally.</w:t>
      </w:r>
    </w:p>
    <w:p>
      <w:pPr>
        <w:pStyle w:val="Heading2"/>
        <w:spacing w:after="120" w:before="240"/>
      </w:pPr>
      <w:r>
        <w:rPr>
          <w:rFonts w:ascii="Arial" w:cs="Arial" w:eastAsia="Arial" w:hAnsi="Arial"/>
          <w:b/>
          <w:bCs/>
          <w:color w:val="1A1A1A"/>
          <w:sz w:val="26"/>
          <w:szCs w:val="26"/>
        </w:rPr>
        <w:t xml:space="preserve">Priority 4: Citation Diversity (Week 3–4)</w:t>
      </w:r>
    </w:p>
    <w:p>
      <w:pPr>
        <w:spacing w:after="120" w:before="120" w:line="320"/>
        <w:jc w:val="left"/>
      </w:pPr>
      <w:r>
        <w:rPr>
          <w:rFonts w:ascii="Arial" w:cs="Arial" w:eastAsia="Arial" w:hAnsi="Arial"/>
          <w:b w:val="false"/>
          <w:bCs w:val="false"/>
          <w:sz w:val="22"/>
          <w:szCs w:val="22"/>
        </w:rPr>
        <w:t xml:space="preserve">Integrate 3–5 women thinkers into the main argument. Stump, Adams, McLaughlin are the strongest candidates. This is not a cosmetic fix—these voices strengthen the arguments they enter.</w:t>
      </w:r>
    </w:p>
    <w:p>
      <w:pPr>
        <w:pStyle w:val="Heading2"/>
        <w:spacing w:after="120" w:before="240"/>
      </w:pPr>
      <w:r>
        <w:rPr>
          <w:rFonts w:ascii="Arial" w:cs="Arial" w:eastAsia="Arial" w:hAnsi="Arial"/>
          <w:b/>
          <w:bCs/>
          <w:color w:val="1A1A1A"/>
          <w:sz w:val="26"/>
          <w:szCs w:val="26"/>
        </w:rPr>
        <w:t xml:space="preserve">Priority 5: Voice Register Variation (Week 4)</w:t>
      </w:r>
    </w:p>
    <w:p>
      <w:pPr>
        <w:spacing w:after="120" w:before="120" w:line="320"/>
        <w:jc w:val="left"/>
      </w:pPr>
      <w:r>
        <w:rPr>
          <w:rFonts w:ascii="Arial" w:cs="Arial" w:eastAsia="Arial" w:hAnsi="Arial"/>
          <w:b w:val="false"/>
          <w:bCs w:val="false"/>
          <w:sz w:val="22"/>
          <w:szCs w:val="22"/>
        </w:rPr>
        <w:t xml:space="preserve">Review chapters 3, 7, and 12 for register. Shift the dominant voice in these chapters toward intellectual curiosity (ch3), vulnerability (ch7), and earned quiet (ch12).</w:t>
      </w:r>
    </w:p>
    <w:p>
      <w:pPr>
        <w:pStyle w:val="Heading2"/>
        <w:spacing w:after="120" w:before="240"/>
      </w:pPr>
      <w:r>
        <w:rPr>
          <w:rFonts w:ascii="Arial" w:cs="Arial" w:eastAsia="Arial" w:hAnsi="Arial"/>
          <w:b/>
          <w:bCs/>
          <w:color w:val="1A1A1A"/>
          <w:sz w:val="26"/>
          <w:szCs w:val="26"/>
        </w:rPr>
        <w:t xml:space="preserve">Priority 6: Repetition Audit (Week 4–5)</w:t>
      </w:r>
    </w:p>
    <w:p>
      <w:pPr>
        <w:spacing w:after="120" w:before="120" w:line="320"/>
        <w:jc w:val="left"/>
      </w:pPr>
      <w:r>
        <w:rPr>
          <w:rFonts w:ascii="Arial" w:cs="Arial" w:eastAsia="Arial" w:hAnsi="Arial"/>
          <w:b w:val="false"/>
          <w:bCs w:val="false"/>
          <w:sz w:val="22"/>
          <w:szCs w:val="22"/>
        </w:rPr>
        <w:t xml:space="preserve">Assign each key illustration/citation a single primary home. Reduce cross-chapter repetition by 60–70%. Recover 3,000–4,000 words of space.</w:t>
      </w:r>
    </w:p>
    <w:p>
      <w:pPr>
        <w:pStyle w:val="Heading2"/>
        <w:spacing w:after="120" w:before="240"/>
      </w:pPr>
      <w:r>
        <w:rPr>
          <w:rFonts w:ascii="Arial" w:cs="Arial" w:eastAsia="Arial" w:hAnsi="Arial"/>
          <w:b/>
          <w:bCs/>
          <w:color w:val="1A1A1A"/>
          <w:sz w:val="26"/>
          <w:szCs w:val="26"/>
        </w:rPr>
        <w:t xml:space="preserve">Priority 7: Chapter 12 Merger (Week 5)</w:t>
      </w:r>
    </w:p>
    <w:p>
      <w:pPr>
        <w:spacing w:after="120" w:before="120" w:line="320"/>
        <w:jc w:val="left"/>
      </w:pPr>
      <w:r>
        <w:rPr>
          <w:rFonts w:ascii="Arial" w:cs="Arial" w:eastAsia="Arial" w:hAnsi="Arial"/>
          <w:b w:val="false"/>
          <w:bCs w:val="false"/>
          <w:sz w:val="22"/>
          <w:szCs w:val="22"/>
        </w:rPr>
        <w:t xml:space="preserve">Merge base and extension into single closing movement. One prayer (moved to sidebar or appendix). End on “Come in.” Nothing after.</w:t>
      </w:r>
    </w:p>
    <w:p>
      <w:pPr>
        <w:pStyle w:val="Heading2"/>
        <w:spacing w:after="120" w:before="240"/>
      </w:pPr>
      <w:r>
        <w:rPr>
          <w:rFonts w:ascii="Arial" w:cs="Arial" w:eastAsia="Arial" w:hAnsi="Arial"/>
          <w:b/>
          <w:bCs/>
          <w:color w:val="1A1A1A"/>
          <w:sz w:val="26"/>
          <w:szCs w:val="26"/>
        </w:rPr>
        <w:t xml:space="preserve">Priority 8: Final Line Edit (Week 5–6)</w:t>
      </w:r>
    </w:p>
    <w:p>
      <w:pPr>
        <w:spacing w:after="120" w:before="120" w:line="320"/>
        <w:jc w:val="left"/>
      </w:pPr>
      <w:r>
        <w:rPr>
          <w:rFonts w:ascii="Arial" w:cs="Arial" w:eastAsia="Arial" w:hAnsi="Arial"/>
          <w:b w:val="false"/>
          <w:bCs w:val="false"/>
          <w:sz w:val="22"/>
          <w:szCs w:val="22"/>
        </w:rPr>
        <w:t xml:space="preserve">Tighten prose by 8–10%. Remove redundant intensifiers. Ensure em-dash usage stays under 2–3 per 500 words. Verify chapter titles match actual content in the build script.</w:t>
      </w:r>
    </w:p>
    <w:p>
      <w:r>
        <w:br w:type="page"/>
      </w:r>
    </w:p>
    <w:p>
      <w:pPr>
        <w:pStyle w:val="Heading1"/>
        <w:spacing w:after="120" w:before="360"/>
      </w:pPr>
      <w:r>
        <w:rPr>
          <w:rFonts w:ascii="Arial" w:cs="Arial" w:eastAsia="Arial" w:hAnsi="Arial"/>
          <w:b/>
          <w:bCs/>
          <w:color w:val="E8600A"/>
          <w:sz w:val="32"/>
          <w:szCs w:val="32"/>
        </w:rPr>
        <w:t xml:space="preserve">VIII. Final Recommendation</w:t>
      </w:r>
    </w:p>
    <w:p>
      <w:pPr>
        <w:spacing w:after="120" w:before="120" w:line="320"/>
        <w:jc w:val="left"/>
      </w:pPr>
      <w:r>
        <w:rPr>
          <w:rFonts w:ascii="Arial" w:cs="Arial" w:eastAsia="Arial" w:hAnsi="Arial"/>
          <w:b/>
          <w:bCs/>
          <w:sz w:val="22"/>
          <w:szCs w:val="22"/>
        </w:rPr>
        <w:t xml:space="preserve">BELIEVE: Rational Answers to a Reasonable Faith</w:t>
      </w:r>
      <w:r>
        <w:rPr>
          <w:rFonts w:ascii="Arial" w:cs="Arial" w:eastAsia="Arial" w:hAnsi="Arial"/>
          <w:b w:val="false"/>
          <w:bCs w:val="false"/>
          <w:sz w:val="22"/>
          <w:szCs w:val="22"/>
        </w:rPr>
        <w:t xml:space="preserve"> is a strong manuscript with a distinctive voice, a sound theological architecture, and a clear market position. It is not yet the book it could be. The issues identified in this audit are structural, not foundational. The voice is right. The theology is right. The architecture is right. What remains is the craft of turning a very good manuscript into an excellent one.</w:t>
      </w:r>
    </w:p>
    <w:p>
      <w:pPr>
        <w:spacing w:after="120" w:before="120" w:line="320"/>
        <w:jc w:val="left"/>
      </w:pPr>
      <w:r>
        <w:rPr>
          <w:rFonts w:ascii="Arial" w:cs="Arial" w:eastAsia="Arial" w:hAnsi="Arial"/>
          <w:b w:val="false"/>
          <w:bCs w:val="false"/>
          <w:sz w:val="22"/>
          <w:szCs w:val="22"/>
        </w:rPr>
        <w:t xml:space="preserve">The author has the talent, the biography, and the theological depth to produce a book that stands alongside Keller’s </w:t>
      </w:r>
      <w:r>
        <w:rPr>
          <w:rFonts w:ascii="Arial" w:cs="Arial" w:eastAsia="Arial" w:hAnsi="Arial"/>
          <w:b/>
          <w:bCs/>
          <w:sz w:val="22"/>
          <w:szCs w:val="22"/>
        </w:rPr>
        <w:t xml:space="preserve">The Reason for God</w:t>
      </w:r>
      <w:r>
        <w:rPr>
          <w:rFonts w:ascii="Arial" w:cs="Arial" w:eastAsia="Arial" w:hAnsi="Arial"/>
          <w:b w:val="false"/>
          <w:bCs w:val="false"/>
          <w:sz w:val="22"/>
          <w:szCs w:val="22"/>
        </w:rPr>
        <w:t xml:space="preserve"> and Lewis’s </w:t>
      </w:r>
      <w:r>
        <w:rPr>
          <w:rFonts w:ascii="Arial" w:cs="Arial" w:eastAsia="Arial" w:hAnsi="Arial"/>
          <w:b/>
          <w:bCs/>
          <w:sz w:val="22"/>
          <w:szCs w:val="22"/>
        </w:rPr>
        <w:t xml:space="preserve">Mere Christianity</w:t>
      </w:r>
      <w:r>
        <w:rPr>
          <w:rFonts w:ascii="Arial" w:cs="Arial" w:eastAsia="Arial" w:hAnsi="Arial"/>
          <w:b w:val="false"/>
          <w:bCs w:val="false"/>
          <w:sz w:val="22"/>
          <w:szCs w:val="22"/>
        </w:rPr>
        <w:t xml:space="preserve"> as a landmark in popular apologetics. The current manuscript is 85% of the way there. The remaining 15% is the integration pass, the origin story, the citation diversity, and the chapter 11 restructure.</w:t>
      </w:r>
    </w:p>
    <w:p>
      <w:pPr>
        <w:spacing w:after="120" w:before="120" w:line="320"/>
        <w:jc w:val="left"/>
      </w:pPr>
      <w:r>
        <w:rPr>
          <w:rFonts w:ascii="Arial" w:cs="Arial" w:eastAsia="Arial" w:hAnsi="Arial"/>
          <w:b w:val="false"/>
          <w:bCs w:val="false"/>
          <w:sz w:val="22"/>
          <w:szCs w:val="22"/>
        </w:rPr>
        <w:t xml:space="preserve">We recommend this manuscript for acquisition contingent on one focused revision pass incorporating the priorities outlined above. Estimated timeline: 4–6 weeks. The result will be a manuscript ready for copyediting, typesetting, and publication.</w:t>
      </w:r>
    </w:p>
    <w:p>
      <w:pPr>
        <w:spacing w:after="120" w:before="120" w:line="320"/>
        <w:jc w:val="left"/>
      </w:pPr>
      <w:r>
        <w:rPr>
          <w:rFonts w:ascii="Arial" w:cs="Arial" w:eastAsia="Arial" w:hAnsi="Arial"/>
          <w:b w:val="false"/>
          <w:bCs w:val="false"/>
          <w:sz w:val="22"/>
          <w:szCs w:val="22"/>
        </w:rPr>
        <w:t xml:space="preserve">This is a book the market needs. A former atheist who became a pastor, writing with prophetic fire and pastoral tenderness, making the case for Christianity with Greek in one hand and a hospital room in the other. There is no book like it on the shelf right now. There should be.</w:t>
      </w:r>
    </w:p>
    <w:p>
      <w:pPr>
        <w:pBdr>
          <w:bottom w:val="single" w:color="E8600A" w:sz="6" w:space="1"/>
        </w:pBdr>
        <w:spacing w:after="200" w:before="200"/>
      </w:pPr>
    </w:p>
    <w:p>
      <w:pPr>
        <w:spacing w:after="120" w:before="200" w:line="320"/>
        <w:jc w:val="center"/>
      </w:pPr>
      <w:r>
        <w:rPr>
          <w:rFonts w:ascii="Arial" w:cs="Arial" w:eastAsia="Arial" w:hAnsi="Arial"/>
          <w:b/>
          <w:bCs/>
          <w:sz w:val="20"/>
          <w:szCs w:val="20"/>
        </w:rPr>
        <w:t xml:space="preserve">END OF AUDIT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00A" w:sz="4" w:space="4"/>
      </w:pBdr>
      <w:tabs>
        <w:tab w:val="right" w:pos="9026"/>
      </w:tabs>
    </w:pPr>
    <w:r>
      <w:rPr>
        <w:rFonts w:ascii="Arial" w:cs="Arial" w:eastAsia="Arial" w:hAnsi="Arial"/>
        <w:color w:val="999999"/>
        <w:sz w:val="16"/>
        <w:szCs w:val="16"/>
      </w:rPr>
      <w:t xml:space="preserve">PUBLISHER’S MANUSCRIPT AUDIT</w:t>
    </w:r>
    <w:r>
      <w:rPr>
        <w:rFonts w:ascii="Arial" w:cs="Arial" w:eastAsia="Arial" w:hAnsi="Arial"/>
        <w:i/>
        <w:iCs/>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E8600A"/>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2026-04-14T16:47:02.767Z</dcterms:created>
  <dcterms:modified xsi:type="dcterms:W3CDTF">2026-04-14T16:47:02.767Z</dcterms:modified>
</cp:coreProperties>
</file>

<file path=docProps/custom.xml><?xml version="1.0" encoding="utf-8"?>
<Properties xmlns="http://schemas.openxmlformats.org/officeDocument/2006/custom-properties" xmlns:vt="http://schemas.openxmlformats.org/officeDocument/2006/docPropsVTypes"/>
</file>