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Complaint Handling Procedure</w:t>
      </w:r>
    </w:p>
    <w:p>
      <w:r>
        <w:rPr>
          <w:i/>
        </w:rPr>
        <w:t>Receiving, logging, resolving and reporting retail customer complaints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2355B"/>
          </w:tcPr>
          <w:p>
            <w:r/>
            <w:r>
              <w:rPr>
                <w:b/>
                <w:color w:val="FFFFFF"/>
                <w:sz w:val="19"/>
              </w:rPr>
              <w:t>Document</w:t>
            </w:r>
          </w:p>
        </w:tc>
        <w:tc>
          <w:tcPr>
            <w:tcW w:type="dxa" w:w="1728"/>
            <w:shd w:val="clear" w:color="auto" w:fill="12355B"/>
          </w:tcPr>
          <w:p>
            <w:r/>
            <w:r>
              <w:rPr>
                <w:b/>
                <w:color w:val="FFFFFF"/>
                <w:sz w:val="19"/>
              </w:rPr>
              <w:t>Version</w:t>
            </w:r>
          </w:p>
        </w:tc>
        <w:tc>
          <w:tcPr>
            <w:tcW w:type="dxa" w:w="1728"/>
            <w:shd w:val="clear" w:color="auto" w:fill="12355B"/>
          </w:tcPr>
          <w:p>
            <w:r/>
            <w:r>
              <w:rPr>
                <w:b/>
                <w:color w:val="FFFFFF"/>
                <w:sz w:val="19"/>
              </w:rPr>
              <w:t>Effective</w:t>
            </w:r>
          </w:p>
        </w:tc>
        <w:tc>
          <w:tcPr>
            <w:tcW w:type="dxa" w:w="1728"/>
            <w:shd w:val="clear" w:color="auto" w:fill="12355B"/>
          </w:tcPr>
          <w:p>
            <w:r/>
            <w:r>
              <w:rPr>
                <w:b/>
                <w:color w:val="FFFFFF"/>
                <w:sz w:val="19"/>
              </w:rPr>
              <w:t>Owner</w:t>
            </w:r>
          </w:p>
        </w:tc>
        <w:tc>
          <w:tcPr>
            <w:tcW w:type="dxa" w:w="1728"/>
            <w:shd w:val="clear" w:color="auto" w:fill="12355B"/>
          </w:tcPr>
          <w:p>
            <w:r/>
            <w:r>
              <w:rPr>
                <w:b/>
                <w:color w:val="FFFFFF"/>
                <w:sz w:val="19"/>
              </w:rPr>
              <w:t>Approved</w:t>
            </w:r>
          </w:p>
        </w:tc>
      </w:tr>
      <w:tr>
        <w:tc>
          <w:tcPr>
            <w:tcW w:type="dxa" w:w="1728"/>
          </w:tcPr>
          <w:p>
            <w:r/>
            <w:r>
              <w:rPr>
                <w:b w:val="0"/>
                <w:i w:val="0"/>
                <w:sz w:val="19"/>
              </w:rPr>
              <w:t>HCB-CMP-002</w:t>
            </w:r>
          </w:p>
        </w:tc>
        <w:tc>
          <w:tcPr>
            <w:tcW w:type="dxa" w:w="1728"/>
          </w:tcPr>
          <w:p>
            <w:r/>
            <w:r>
              <w:rPr>
                <w:b w:val="0"/>
                <w:i w:val="0"/>
                <w:sz w:val="19"/>
              </w:rPr>
              <w:t>4.0</w:t>
            </w:r>
          </w:p>
        </w:tc>
        <w:tc>
          <w:tcPr>
            <w:tcW w:type="dxa" w:w="1728"/>
          </w:tcPr>
          <w:p>
            <w:r/>
            <w:r>
              <w:rPr>
                <w:b w:val="0"/>
                <w:i w:val="0"/>
                <w:sz w:val="19"/>
              </w:rPr>
              <w:t>1 May 2026</w:t>
            </w:r>
          </w:p>
        </w:tc>
        <w:tc>
          <w:tcPr>
            <w:tcW w:type="dxa" w:w="1728"/>
          </w:tcPr>
          <w:p>
            <w:r/>
            <w:r>
              <w:rPr>
                <w:b w:val="0"/>
                <w:i w:val="0"/>
                <w:sz w:val="19"/>
              </w:rPr>
              <w:t>Head of Customer Care</w:t>
            </w:r>
          </w:p>
        </w:tc>
        <w:tc>
          <w:tcPr>
            <w:tcW w:type="dxa" w:w="1728"/>
          </w:tcPr>
          <w:p>
            <w:r/>
            <w:r>
              <w:rPr>
                <w:b w:val="0"/>
                <w:i w:val="0"/>
                <w:sz w:val="19"/>
              </w:rPr>
              <w:t>Compliance Committee, 28 April 2026</w:t>
            </w:r>
          </w:p>
        </w:tc>
      </w:tr>
    </w:tbl>
    <w:p/>
    <w:p>
      <w:pPr>
        <w:pStyle w:val="Heading1"/>
      </w:pPr>
      <w:r>
        <w:t>1. Purpose and scope</w:t>
      </w:r>
    </w:p>
    <w:p>
      <w:r>
        <w:rPr>
          <w:b w:val="0"/>
          <w:i w:val="0"/>
        </w:rPr>
        <w:t>This procedure sets out how Harborview Community Bank receives, records, investigates and resolves complaints from retail customers about deposit accounts, credit cards, loans, fees, branch service, online banking and card disputes. It applies to every employee. Treating complaints promptly and fairly is a regulatory expectation and is also how the Bank finds and fixes problems before they affect other customers.</w:t>
      </w:r>
    </w:p>
    <w:p>
      <w:pPr>
        <w:pStyle w:val="Heading1"/>
      </w:pPr>
      <w:r>
        <w:t>2. What counts as a complaint</w:t>
      </w:r>
    </w:p>
    <w:p>
      <w:r>
        <w:rPr>
          <w:b w:val="0"/>
          <w:i w:val="0"/>
        </w:rPr>
        <w:t>A complaint is any expression of dissatisfaction, written or spoken, about the Bank's products, services or employees, whether or not the customer uses the word "complaint". A simple question or a request for information is an inquiry and is answered on the spot. If an inquiry cannot be answered at once, or the customer is unhappy with the answer, it becomes a complaint.</w:t>
      </w:r>
    </w:p>
    <w:p>
      <w:pPr>
        <w:pStyle w:val="Heading1"/>
      </w:pPr>
      <w:r>
        <w:t>3. How complaints arrive</w:t>
      </w:r>
    </w:p>
    <w:p>
      <w:r>
        <w:rPr>
          <w:b w:val="0"/>
          <w:i w:val="0"/>
        </w:rPr>
        <w:t>Customers may complain at any branch, by telephone through Customer Care, through secure messaging in online banking, by letter or by email to the Customer Care mailbox. Whoever receives the complaint is responsible for logging it in the complaint system on the day it arrives, with the customer's identifier, the account or loan involved, the category in Table 1 and the date received. A complaint received by a branch is never forwarded without being logged first.</w:t>
      </w:r>
    </w:p>
    <w:p>
      <w:pPr>
        <w:pStyle w:val="Heading1"/>
      </w:pPr>
      <w:r>
        <w:t>4. Handling times</w:t>
      </w:r>
    </w:p>
    <w:p>
      <w:r>
        <w:rPr>
          <w:b w:val="0"/>
          <w:i w:val="0"/>
        </w:rPr>
        <w:t>Table 1 gives the handling times that apply to each category. Business days exclude weekends and Bank holidays and are counted from the day after the complaint is logged.</w:t>
      </w:r>
    </w:p>
    <w:p>
      <w:r>
        <w:rPr>
          <w:b/>
        </w:rPr>
        <w:t>Table 1. Complaint categories and service levels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2355B"/>
          </w:tcPr>
          <w:p>
            <w:r/>
            <w:r>
              <w:rPr>
                <w:b/>
                <w:color w:val="FFFFFF"/>
                <w:sz w:val="19"/>
              </w:rPr>
              <w:t>Category</w:t>
            </w:r>
          </w:p>
        </w:tc>
        <w:tc>
          <w:tcPr>
            <w:tcW w:type="dxa" w:w="1728"/>
            <w:shd w:val="clear" w:color="auto" w:fill="12355B"/>
          </w:tcPr>
          <w:p>
            <w:r/>
            <w:r>
              <w:rPr>
                <w:b/>
                <w:color w:val="FFFFFF"/>
                <w:sz w:val="19"/>
              </w:rPr>
              <w:t>Examples</w:t>
            </w:r>
          </w:p>
        </w:tc>
        <w:tc>
          <w:tcPr>
            <w:tcW w:type="dxa" w:w="1728"/>
            <w:shd w:val="clear" w:color="auto" w:fill="12355B"/>
          </w:tcPr>
          <w:p>
            <w:r/>
            <w:r>
              <w:rPr>
                <w:b/>
                <w:color w:val="FFFFFF"/>
                <w:sz w:val="19"/>
              </w:rPr>
              <w:t>Acknowledge within</w:t>
            </w:r>
          </w:p>
        </w:tc>
        <w:tc>
          <w:tcPr>
            <w:tcW w:type="dxa" w:w="1728"/>
            <w:shd w:val="clear" w:color="auto" w:fill="12355B"/>
          </w:tcPr>
          <w:p>
            <w:r/>
            <w:r>
              <w:rPr>
                <w:b/>
                <w:color w:val="FFFFFF"/>
                <w:sz w:val="19"/>
              </w:rPr>
              <w:t>Resolve within</w:t>
            </w:r>
          </w:p>
        </w:tc>
        <w:tc>
          <w:tcPr>
            <w:tcW w:type="dxa" w:w="1728"/>
            <w:shd w:val="clear" w:color="auto" w:fill="12355B"/>
          </w:tcPr>
          <w:p>
            <w:r/>
            <w:r>
              <w:rPr>
                <w:b/>
                <w:color w:val="FFFFFF"/>
                <w:sz w:val="19"/>
              </w:rPr>
              <w:t>Owner</w:t>
            </w:r>
          </w:p>
        </w:tc>
      </w:tr>
      <w:tr>
        <w:tc>
          <w:tcPr>
            <w:tcW w:type="dxa" w:w="1728"/>
          </w:tcPr>
          <w:p>
            <w:r/>
            <w:r>
              <w:rPr>
                <w:b w:val="0"/>
                <w:i w:val="0"/>
                <w:sz w:val="19"/>
              </w:rPr>
              <w:t>Fees and charges</w:t>
            </w:r>
          </w:p>
        </w:tc>
        <w:tc>
          <w:tcPr>
            <w:tcW w:type="dxa" w:w="1728"/>
          </w:tcPr>
          <w:p>
            <w:r/>
            <w:r>
              <w:rPr>
                <w:b w:val="0"/>
                <w:i w:val="0"/>
                <w:sz w:val="19"/>
              </w:rPr>
              <w:t>Overdraft fee, monthly service fee, wire fee</w:t>
            </w:r>
          </w:p>
        </w:tc>
        <w:tc>
          <w:tcPr>
            <w:tcW w:type="dxa" w:w="1728"/>
          </w:tcPr>
          <w:p>
            <w:r/>
            <w:r>
              <w:rPr>
                <w:b w:val="0"/>
                <w:i w:val="0"/>
                <w:sz w:val="19"/>
              </w:rPr>
              <w:t>2 business days</w:t>
            </w:r>
          </w:p>
        </w:tc>
        <w:tc>
          <w:tcPr>
            <w:tcW w:type="dxa" w:w="1728"/>
          </w:tcPr>
          <w:p>
            <w:r/>
            <w:r>
              <w:rPr>
                <w:b w:val="0"/>
                <w:i w:val="0"/>
                <w:sz w:val="19"/>
              </w:rPr>
              <w:t>10 business days</w:t>
            </w:r>
          </w:p>
        </w:tc>
        <w:tc>
          <w:tcPr>
            <w:tcW w:type="dxa" w:w="1728"/>
          </w:tcPr>
          <w:p>
            <w:r/>
            <w:r>
              <w:rPr>
                <w:b w:val="0"/>
                <w:i w:val="0"/>
                <w:sz w:val="19"/>
              </w:rPr>
              <w:t>Customer Care</w:t>
            </w:r>
          </w:p>
        </w:tc>
      </w:tr>
      <w:tr>
        <w:tc>
          <w:tcPr>
            <w:tcW w:type="dxa" w:w="1728"/>
            <w:shd w:val="clear" w:color="auto" w:fill="F1F5F9"/>
          </w:tcPr>
          <w:p>
            <w:r/>
            <w:r>
              <w:rPr>
                <w:b w:val="0"/>
                <w:i w:val="0"/>
                <w:sz w:val="19"/>
              </w:rPr>
              <w:t>Deposit accounts</w:t>
            </w:r>
          </w:p>
        </w:tc>
        <w:tc>
          <w:tcPr>
            <w:tcW w:type="dxa" w:w="1728"/>
            <w:shd w:val="clear" w:color="auto" w:fill="F1F5F9"/>
          </w:tcPr>
          <w:p>
            <w:r/>
            <w:r>
              <w:rPr>
                <w:b w:val="0"/>
                <w:i w:val="0"/>
                <w:sz w:val="19"/>
              </w:rPr>
              <w:t>Holds on deposits, account closure, statement errors</w:t>
            </w:r>
          </w:p>
        </w:tc>
        <w:tc>
          <w:tcPr>
            <w:tcW w:type="dxa" w:w="1728"/>
            <w:shd w:val="clear" w:color="auto" w:fill="F1F5F9"/>
          </w:tcPr>
          <w:p>
            <w:r/>
            <w:r>
              <w:rPr>
                <w:b w:val="0"/>
                <w:i w:val="0"/>
                <w:sz w:val="19"/>
              </w:rPr>
              <w:t>2 business days</w:t>
            </w:r>
          </w:p>
        </w:tc>
        <w:tc>
          <w:tcPr>
            <w:tcW w:type="dxa" w:w="1728"/>
            <w:shd w:val="clear" w:color="auto" w:fill="F1F5F9"/>
          </w:tcPr>
          <w:p>
            <w:r/>
            <w:r>
              <w:rPr>
                <w:b w:val="0"/>
                <w:i w:val="0"/>
                <w:sz w:val="19"/>
              </w:rPr>
              <w:t>15 business days</w:t>
            </w:r>
          </w:p>
        </w:tc>
        <w:tc>
          <w:tcPr>
            <w:tcW w:type="dxa" w:w="1728"/>
            <w:shd w:val="clear" w:color="auto" w:fill="F1F5F9"/>
          </w:tcPr>
          <w:p>
            <w:r/>
            <w:r>
              <w:rPr>
                <w:b w:val="0"/>
                <w:i w:val="0"/>
                <w:sz w:val="19"/>
              </w:rPr>
              <w:t>Customer Care</w:t>
            </w:r>
          </w:p>
        </w:tc>
      </w:tr>
      <w:tr>
        <w:tc>
          <w:tcPr>
            <w:tcW w:type="dxa" w:w="1728"/>
          </w:tcPr>
          <w:p>
            <w:r/>
            <w:r>
              <w:rPr>
                <w:b w:val="0"/>
                <w:i w:val="0"/>
                <w:sz w:val="19"/>
              </w:rPr>
              <w:t>Card disputes and unauthorized transactions</w:t>
            </w:r>
          </w:p>
        </w:tc>
        <w:tc>
          <w:tcPr>
            <w:tcW w:type="dxa" w:w="1728"/>
          </w:tcPr>
          <w:p>
            <w:r/>
            <w:r>
              <w:rPr>
                <w:b w:val="0"/>
                <w:i w:val="0"/>
                <w:sz w:val="19"/>
              </w:rPr>
              <w:t>Debit or credit card charges the customer did not make</w:t>
            </w:r>
          </w:p>
        </w:tc>
        <w:tc>
          <w:tcPr>
            <w:tcW w:type="dxa" w:w="1728"/>
          </w:tcPr>
          <w:p>
            <w:r/>
            <w:r>
              <w:rPr>
                <w:b w:val="0"/>
                <w:i w:val="0"/>
                <w:sz w:val="19"/>
              </w:rPr>
              <w:t>2 business days</w:t>
            </w:r>
          </w:p>
        </w:tc>
        <w:tc>
          <w:tcPr>
            <w:tcW w:type="dxa" w:w="1728"/>
          </w:tcPr>
          <w:p>
            <w:r/>
            <w:r>
              <w:rPr>
                <w:b w:val="0"/>
                <w:i w:val="0"/>
                <w:sz w:val="19"/>
              </w:rPr>
              <w:t>10 business days to investigate or provisionally credit, final decision within 45 days</w:t>
            </w:r>
          </w:p>
        </w:tc>
        <w:tc>
          <w:tcPr>
            <w:tcW w:type="dxa" w:w="1728"/>
          </w:tcPr>
          <w:p>
            <w:r/>
            <w:r>
              <w:rPr>
                <w:b w:val="0"/>
                <w:i w:val="0"/>
                <w:sz w:val="19"/>
              </w:rPr>
              <w:t>Card Services</w:t>
            </w:r>
          </w:p>
        </w:tc>
      </w:tr>
      <w:tr>
        <w:tc>
          <w:tcPr>
            <w:tcW w:type="dxa" w:w="1728"/>
            <w:shd w:val="clear" w:color="auto" w:fill="F1F5F9"/>
          </w:tcPr>
          <w:p>
            <w:r/>
            <w:r>
              <w:rPr>
                <w:b w:val="0"/>
                <w:i w:val="0"/>
                <w:sz w:val="19"/>
              </w:rPr>
              <w:t>Lending and loan servicing</w:t>
            </w:r>
          </w:p>
        </w:tc>
        <w:tc>
          <w:tcPr>
            <w:tcW w:type="dxa" w:w="1728"/>
            <w:shd w:val="clear" w:color="auto" w:fill="F1F5F9"/>
          </w:tcPr>
          <w:p>
            <w:r/>
            <w:r>
              <w:rPr>
                <w:b w:val="0"/>
                <w:i w:val="0"/>
                <w:sz w:val="19"/>
              </w:rPr>
              <w:t>Payment application, modification denials, collections conduct</w:t>
            </w:r>
          </w:p>
        </w:tc>
        <w:tc>
          <w:tcPr>
            <w:tcW w:type="dxa" w:w="1728"/>
            <w:shd w:val="clear" w:color="auto" w:fill="F1F5F9"/>
          </w:tcPr>
          <w:p>
            <w:r/>
            <w:r>
              <w:rPr>
                <w:b w:val="0"/>
                <w:i w:val="0"/>
                <w:sz w:val="19"/>
              </w:rPr>
              <w:t>2 business days</w:t>
            </w:r>
          </w:p>
        </w:tc>
        <w:tc>
          <w:tcPr>
            <w:tcW w:type="dxa" w:w="1728"/>
            <w:shd w:val="clear" w:color="auto" w:fill="F1F5F9"/>
          </w:tcPr>
          <w:p>
            <w:r/>
            <w:r>
              <w:rPr>
                <w:b w:val="0"/>
                <w:i w:val="0"/>
                <w:sz w:val="19"/>
              </w:rPr>
              <w:t>15 business days</w:t>
            </w:r>
          </w:p>
        </w:tc>
        <w:tc>
          <w:tcPr>
            <w:tcW w:type="dxa" w:w="1728"/>
            <w:shd w:val="clear" w:color="auto" w:fill="F1F5F9"/>
          </w:tcPr>
          <w:p>
            <w:r/>
            <w:r>
              <w:rPr>
                <w:b w:val="0"/>
                <w:i w:val="0"/>
                <w:sz w:val="19"/>
              </w:rPr>
              <w:t>Loan Servicing</w:t>
            </w:r>
          </w:p>
        </w:tc>
      </w:tr>
      <w:tr>
        <w:tc>
          <w:tcPr>
            <w:tcW w:type="dxa" w:w="1728"/>
          </w:tcPr>
          <w:p>
            <w:r/>
            <w:r>
              <w:rPr>
                <w:b w:val="0"/>
                <w:i w:val="0"/>
                <w:sz w:val="19"/>
              </w:rPr>
              <w:t>Fraud and identity theft</w:t>
            </w:r>
          </w:p>
        </w:tc>
        <w:tc>
          <w:tcPr>
            <w:tcW w:type="dxa" w:w="1728"/>
          </w:tcPr>
          <w:p>
            <w:r/>
            <w:r>
              <w:rPr>
                <w:b w:val="0"/>
                <w:i w:val="0"/>
                <w:sz w:val="19"/>
              </w:rPr>
              <w:t>Account takeover, forged checks</w:t>
            </w:r>
          </w:p>
        </w:tc>
        <w:tc>
          <w:tcPr>
            <w:tcW w:type="dxa" w:w="1728"/>
          </w:tcPr>
          <w:p>
            <w:r/>
            <w:r>
              <w:rPr>
                <w:b w:val="0"/>
                <w:i w:val="0"/>
                <w:sz w:val="19"/>
              </w:rPr>
              <w:t>1 business day</w:t>
            </w:r>
          </w:p>
        </w:tc>
        <w:tc>
          <w:tcPr>
            <w:tcW w:type="dxa" w:w="1728"/>
          </w:tcPr>
          <w:p>
            <w:r/>
            <w:r>
              <w:rPr>
                <w:b w:val="0"/>
                <w:i w:val="0"/>
                <w:sz w:val="19"/>
              </w:rPr>
              <w:t>15 business days, with an immediate account block</w:t>
            </w:r>
          </w:p>
        </w:tc>
        <w:tc>
          <w:tcPr>
            <w:tcW w:type="dxa" w:w="1728"/>
          </w:tcPr>
          <w:p>
            <w:r/>
            <w:r>
              <w:rPr>
                <w:b w:val="0"/>
                <w:i w:val="0"/>
                <w:sz w:val="19"/>
              </w:rPr>
              <w:t>Fraud Operations</w:t>
            </w:r>
          </w:p>
        </w:tc>
      </w:tr>
      <w:tr>
        <w:tc>
          <w:tcPr>
            <w:tcW w:type="dxa" w:w="1728"/>
            <w:shd w:val="clear" w:color="auto" w:fill="F1F5F9"/>
          </w:tcPr>
          <w:p>
            <w:r/>
            <w:r>
              <w:rPr>
                <w:b w:val="0"/>
                <w:i w:val="0"/>
                <w:sz w:val="19"/>
              </w:rPr>
              <w:t>Service and conduct</w:t>
            </w:r>
          </w:p>
        </w:tc>
        <w:tc>
          <w:tcPr>
            <w:tcW w:type="dxa" w:w="1728"/>
            <w:shd w:val="clear" w:color="auto" w:fill="F1F5F9"/>
          </w:tcPr>
          <w:p>
            <w:r/>
            <w:r>
              <w:rPr>
                <w:b w:val="0"/>
                <w:i w:val="0"/>
                <w:sz w:val="19"/>
              </w:rPr>
              <w:t>Branch staff behavior, wait times, accessibility</w:t>
            </w:r>
          </w:p>
        </w:tc>
        <w:tc>
          <w:tcPr>
            <w:tcW w:type="dxa" w:w="1728"/>
            <w:shd w:val="clear" w:color="auto" w:fill="F1F5F9"/>
          </w:tcPr>
          <w:p>
            <w:r/>
            <w:r>
              <w:rPr>
                <w:b w:val="0"/>
                <w:i w:val="0"/>
                <w:sz w:val="19"/>
              </w:rPr>
              <w:t>2 business days</w:t>
            </w:r>
          </w:p>
        </w:tc>
        <w:tc>
          <w:tcPr>
            <w:tcW w:type="dxa" w:w="1728"/>
            <w:shd w:val="clear" w:color="auto" w:fill="F1F5F9"/>
          </w:tcPr>
          <w:p>
            <w:r/>
            <w:r>
              <w:rPr>
                <w:b w:val="0"/>
                <w:i w:val="0"/>
                <w:sz w:val="19"/>
              </w:rPr>
              <w:t>15 business days</w:t>
            </w:r>
          </w:p>
        </w:tc>
        <w:tc>
          <w:tcPr>
            <w:tcW w:type="dxa" w:w="1728"/>
            <w:shd w:val="clear" w:color="auto" w:fill="F1F5F9"/>
          </w:tcPr>
          <w:p>
            <w:r/>
            <w:r>
              <w:rPr>
                <w:b w:val="0"/>
                <w:i w:val="0"/>
                <w:sz w:val="19"/>
              </w:rPr>
              <w:t>Branch Manager</w:t>
            </w:r>
          </w:p>
        </w:tc>
      </w:tr>
    </w:tbl>
    <w:p/>
    <w:p>
      <w:pPr>
        <w:pStyle w:val="Heading1"/>
      </w:pPr>
      <w:r>
        <w:t>5. Investigation steps</w:t>
      </w:r>
    </w:p>
    <w:p>
      <w:pPr>
        <w:pStyle w:val="ListNumber"/>
      </w:pPr>
      <w:r>
        <w:rPr>
          <w:b/>
          <w:i w:val="0"/>
        </w:rPr>
        <w:t>Acknowledge.</w:t>
      </w:r>
      <w:r>
        <w:rPr>
          <w:b w:val="0"/>
          <w:i w:val="0"/>
        </w:rPr>
        <w:t xml:space="preserve"> Send a written acknowledgement within the time in Table 1 that gives the reference number, the name of the person handling the complaint and the date by which the customer will receive an answer.</w:t>
      </w:r>
    </w:p>
    <w:p>
      <w:pPr>
        <w:pStyle w:val="ListNumber"/>
      </w:pPr>
      <w:r>
        <w:rPr>
          <w:b/>
          <w:i w:val="0"/>
        </w:rPr>
        <w:t>Investigate.</w:t>
      </w:r>
      <w:r>
        <w:rPr>
          <w:b w:val="0"/>
          <w:i w:val="0"/>
        </w:rPr>
        <w:t xml:space="preserve"> The owner reviews the account history, call recordings and relevant policies, and speaks with every employee involved. The investigator may not be the person who is the subject of the complaint.</w:t>
      </w:r>
    </w:p>
    <w:p>
      <w:pPr>
        <w:pStyle w:val="ListNumber"/>
      </w:pPr>
      <w:r>
        <w:rPr>
          <w:b/>
          <w:i w:val="0"/>
        </w:rPr>
        <w:t>Decide and respond.</w:t>
      </w:r>
      <w:r>
        <w:rPr>
          <w:b w:val="0"/>
          <w:i w:val="0"/>
        </w:rPr>
        <w:t xml:space="preserve"> The owner decides, in plain language, whether the complaint is upheld, partly upheld or not upheld, explains why, and states any remedy, such as a fee refund or a correction to credit reporting.</w:t>
      </w:r>
    </w:p>
    <w:p>
      <w:pPr>
        <w:pStyle w:val="ListNumber"/>
      </w:pPr>
      <w:r>
        <w:rPr>
          <w:b/>
          <w:i w:val="0"/>
        </w:rPr>
        <w:t>Close.</w:t>
      </w:r>
      <w:r>
        <w:rPr>
          <w:b w:val="0"/>
          <w:i w:val="0"/>
        </w:rPr>
        <w:t xml:space="preserve"> The owner records the outcome, the remedy and the root cause in the complaint system and closes the case only after the response has been sent.</w:t>
      </w:r>
    </w:p>
    <w:p>
      <w:pPr>
        <w:pStyle w:val="Heading1"/>
      </w:pPr>
      <w:r>
        <w:t>6. Escalation</w:t>
      </w:r>
    </w:p>
    <w:p>
      <w:r>
        <w:rPr>
          <w:b w:val="0"/>
          <w:i w:val="0"/>
        </w:rPr>
        <w:t>If a complaint has not been resolved by the 10th business day, it is escalated automatically to the Complaint Resolution Team, a group of senior specialists who are independent of the owner. The Team may extend the resolution time by up to 15 business days when the investigation needs information from a third party, such as a card network or merchant. The customer must be told in writing before the original deadline expires, with the reason and the new date. A complaint that is open more than 30 business days is reported to the Head of Customer Care weekly and to the Compliance Committee at its next meeting.</w:t>
      </w:r>
    </w:p>
    <w:p>
      <w:r>
        <w:rPr>
          <w:b w:val="0"/>
          <w:i w:val="0"/>
        </w:rPr>
        <w:t>A customer who is not satisfied with the final response may ask for a review by the Chief Compliance Officer, whose decision is final within the Bank. The response letter must tell customers that they may also contact the Bank's primary federal regulator or the Consumer Financial Protection Bureau at any time.</w:t>
      </w:r>
    </w:p>
    <w:p>
      <w:pPr>
        <w:pStyle w:val="Heading1"/>
      </w:pPr>
      <w:r>
        <w:t>7. Remedies and fee refunds</w:t>
      </w:r>
    </w:p>
    <w:p>
      <w:r>
        <w:rPr>
          <w:b w:val="0"/>
          <w:i w:val="0"/>
        </w:rPr>
        <w:t>An agent may refund a fee up to $100 without approval, and up to $500 with a team leader's approval. Refunds above $500 need the approval of the Head of Customer Care. A refund is made as soon as the complaint is upheld; it does not wait for the case to close.</w:t>
      </w:r>
    </w:p>
    <w:p>
      <w:pPr>
        <w:pStyle w:val="Heading1"/>
      </w:pPr>
      <w:r>
        <w:t>8. Retaliation and confidentiality</w:t>
      </w:r>
    </w:p>
    <w:p>
      <w:r>
        <w:rPr>
          <w:b w:val="0"/>
          <w:i w:val="0"/>
        </w:rPr>
        <w:t>No customer is treated differently because they complained. Employees must keep every complaint confidential and share it only with those who need it to resolve it. Complaints about suspected money laundering or fraud by an employee are referred to the BSA/AML Officer and Internal Audit and are not handled under this procedure.</w:t>
      </w:r>
    </w:p>
    <w:p>
      <w:pPr>
        <w:pStyle w:val="Heading1"/>
      </w:pPr>
      <w:r>
        <w:t>9. Reporting and records</w:t>
      </w:r>
    </w:p>
    <w:p>
      <w:r>
        <w:rPr>
          <w:b w:val="0"/>
          <w:i w:val="0"/>
        </w:rPr>
        <w:t>Customer Care reports volume, categories, handling times and root causes monthly to the Compliance Committee. Every quarter the report goes to the Credit Risk Committee with the complaints that concern lending, collections and card disputes. A complaint record, including all letters and call notes, is kept for 5 years after the case closes.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document for a software demonstration. Harborview Community Bank is fictional.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HARBORVIEW COMMUNITY BANK  |  HCB-CMP-002  |  Version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5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55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Complaint Handling Procedure</dc:title>
  <dc:subject>Receiving, logging, resolving and reporting retail customer complaints</dc:subject>
  <dc:creator>Harborview Community Bank (synthetic)</dc:creator>
  <cp:keywords/>
  <dc:description>Synthetic document generated for a software demonstration.</dc:description>
  <cp:lastModifiedBy>Harborview Community Bank (synthetic)</cp:lastModifiedBy>
  <cp:revision>1</cp:revision>
  <dcterms:created xsi:type="dcterms:W3CDTF">2026-09-30T12:00:00Z</dcterms:created>
  <dcterms:modified xsi:type="dcterms:W3CDTF">2026-09-30T12:00:00Z</dcterms:modified>
  <cp:category/>
</cp:coreProperties>
</file>