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Supplier Quality Agreement</w:t>
      </w:r>
    </w:p>
    <w:p>
      <w:r>
        <w:rPr>
          <w:b w:val="0"/>
          <w:sz w:val="24"/>
        </w:rPr>
        <w:t>Atlas Precision Components and Halvorsen Alloys Ltd.</w:t>
      </w:r>
    </w:p>
    <w:tbl>
      <w:tblPr>
        <w:tblStyle w:val="TableGrid"/>
        <w:tblW w:type="auto" w:w="0"/>
        <w:tblLook w:firstColumn="1" w:firstRow="1" w:lastColumn="0" w:lastRow="0" w:noHBand="0" w:noVBand="1" w:val="04A0"/>
      </w:tblPr>
      <w:tblGrid>
        <w:gridCol w:w="4680"/>
        <w:gridCol w:w="4680"/>
      </w:tblGrid>
      <w:tr>
        <w:tc>
          <w:tcPr>
            <w:tcW w:type="dxa" w:w="4680"/>
            <w:shd w:val="clear" w:color="auto" w:fill="1F3A5F"/>
          </w:tcPr>
          <w:p>
            <w:r>
              <w:rPr>
                <w:color w:val="FFFFFF"/>
              </w:rPr>
            </w:r>
            <w:r>
              <w:rPr>
                <w:b/>
                <w:sz w:val="19"/>
              </w:rPr>
              <w:t>Field</w:t>
            </w:r>
          </w:p>
        </w:tc>
        <w:tc>
          <w:tcPr>
            <w:tcW w:type="dxa" w:w="4680"/>
            <w:shd w:val="clear" w:color="auto" w:fill="1F3A5F"/>
          </w:tcPr>
          <w:p>
            <w:r>
              <w:rPr>
                <w:color w:val="FFFFFF"/>
              </w:rPr>
            </w:r>
            <w:r>
              <w:rPr>
                <w:b/>
                <w:sz w:val="19"/>
              </w:rPr>
              <w:t>Value</w:t>
            </w:r>
          </w:p>
        </w:tc>
      </w:tr>
      <w:tr>
        <w:tc>
          <w:tcPr>
            <w:tcW w:type="dxa" w:w="4680"/>
          </w:tcPr>
          <w:p>
            <w:r/>
            <w:r>
              <w:rPr>
                <w:b w:val="0"/>
                <w:sz w:val="19"/>
              </w:rPr>
              <w:t>Agreement ID</w:t>
            </w:r>
          </w:p>
        </w:tc>
        <w:tc>
          <w:tcPr>
            <w:tcW w:type="dxa" w:w="4680"/>
          </w:tcPr>
          <w:p>
            <w:r/>
            <w:r>
              <w:rPr>
                <w:b w:val="0"/>
                <w:sz w:val="19"/>
              </w:rPr>
              <w:t>SQA-HAL-2026</w:t>
            </w:r>
          </w:p>
        </w:tc>
      </w:tr>
      <w:tr>
        <w:tc>
          <w:tcPr>
            <w:tcW w:type="dxa" w:w="4680"/>
            <w:shd w:val="clear" w:color="auto" w:fill="EEF2F6"/>
          </w:tcPr>
          <w:p>
            <w:r/>
            <w:r>
              <w:rPr>
                <w:b w:val="0"/>
                <w:sz w:val="19"/>
              </w:rPr>
              <w:t>Version</w:t>
            </w:r>
          </w:p>
        </w:tc>
        <w:tc>
          <w:tcPr>
            <w:tcW w:type="dxa" w:w="4680"/>
            <w:shd w:val="clear" w:color="auto" w:fill="EEF2F6"/>
          </w:tcPr>
          <w:p>
            <w:r/>
            <w:r>
              <w:rPr>
                <w:b w:val="0"/>
                <w:sz w:val="19"/>
              </w:rPr>
              <w:t>Version 2.1</w:t>
            </w:r>
          </w:p>
        </w:tc>
      </w:tr>
      <w:tr>
        <w:tc>
          <w:tcPr>
            <w:tcW w:type="dxa" w:w="4680"/>
          </w:tcPr>
          <w:p>
            <w:r/>
            <w:r>
              <w:rPr>
                <w:b w:val="0"/>
                <w:sz w:val="19"/>
              </w:rPr>
              <w:t>Effective</w:t>
            </w:r>
          </w:p>
        </w:tc>
        <w:tc>
          <w:tcPr>
            <w:tcW w:type="dxa" w:w="4680"/>
          </w:tcPr>
          <w:p>
            <w:r/>
            <w:r>
              <w:rPr>
                <w:b w:val="0"/>
                <w:sz w:val="19"/>
              </w:rPr>
              <w:t>1 January 2026</w:t>
            </w:r>
          </w:p>
        </w:tc>
      </w:tr>
      <w:tr>
        <w:tc>
          <w:tcPr>
            <w:tcW w:type="dxa" w:w="4680"/>
            <w:shd w:val="clear" w:color="auto" w:fill="EEF2F6"/>
          </w:tcPr>
          <w:p>
            <w:r/>
            <w:r>
              <w:rPr>
                <w:b w:val="0"/>
                <w:sz w:val="19"/>
              </w:rPr>
              <w:t>Owner</w:t>
            </w:r>
          </w:p>
        </w:tc>
        <w:tc>
          <w:tcPr>
            <w:tcW w:type="dxa" w:w="4680"/>
            <w:shd w:val="clear" w:color="auto" w:fill="EEF2F6"/>
          </w:tcPr>
          <w:p>
            <w:r/>
            <w:r>
              <w:rPr>
                <w:b w:val="0"/>
                <w:sz w:val="19"/>
              </w:rPr>
              <w:t>Corporate Supplier Quality, Atlas Precision Components</w:t>
            </w:r>
          </w:p>
        </w:tc>
      </w:tr>
      <w:tr>
        <w:tc>
          <w:tcPr>
            <w:tcW w:type="dxa" w:w="4680"/>
          </w:tcPr>
          <w:p>
            <w:r/>
            <w:r>
              <w:rPr>
                <w:b w:val="0"/>
                <w:sz w:val="19"/>
              </w:rPr>
              <w:t>Applies to</w:t>
            </w:r>
          </w:p>
        </w:tc>
        <w:tc>
          <w:tcPr>
            <w:tcW w:type="dxa" w:w="4680"/>
          </w:tcPr>
          <w:p>
            <w:r/>
            <w:r>
              <w:rPr>
                <w:b w:val="0"/>
                <w:sz w:val="19"/>
              </w:rPr>
              <w:t>Aluminum and steel bar stock delivered to the Dayton, Monterrey and Brno plants</w:t>
            </w:r>
          </w:p>
        </w:tc>
      </w:tr>
    </w:tbl>
    <w:p/>
    <w:p>
      <w:pPr>
        <w:pStyle w:val="Heading1"/>
      </w:pPr>
      <w:r>
        <w:t>1. Parties and purpose</w:t>
      </w:r>
    </w:p>
    <w:p>
      <w:r>
        <w:rPr>
          <w:b w:val="0"/>
        </w:rPr>
        <w:t>This Supplier Quality Agreement (the "Agreement") is made between Atlas Precision Components (</w:t>
      </w:r>
      <w:r>
        <w:rPr>
          <w:b/>
        </w:rPr>
        <w:t>Atlas</w:t>
      </w:r>
      <w:r>
        <w:rPr>
          <w:b w:val="0"/>
        </w:rPr>
        <w:t xml:space="preserve">) and Halvorsen Alloys Ltd. (the </w:t>
      </w:r>
      <w:r>
        <w:rPr>
          <w:b/>
        </w:rPr>
        <w:t>Supplier</w:t>
      </w:r>
      <w:r>
        <w:rPr>
          <w:b w:val="0"/>
        </w:rPr>
        <w:t>). It sets the quality requirements for the materials the Supplier delivers to Atlas and how nonconforming material is handled. It supplements, and does not replace, the purchase terms of each order.</w:t>
      </w:r>
    </w:p>
    <w:p>
      <w:r>
        <w:rPr>
          <w:b w:val="0"/>
        </w:rPr>
        <w:t>This is a synthetic document written for a software demonstration. Atlas Precision Components and Halvorsen Alloys Ltd. are fictional.</w:t>
      </w:r>
    </w:p>
    <w:p>
      <w:pPr>
        <w:pStyle w:val="Heading1"/>
      </w:pPr>
      <w:r>
        <w:t>2. Scope</w:t>
      </w:r>
    </w:p>
    <w:p>
      <w:r>
        <w:rPr>
          <w:b w:val="0"/>
        </w:rPr>
        <w:t>The Agreement covers the following materials, delivered to the Dayton Plant, the Monterrey Plant and the Brno Plant: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A5F"/>
          </w:tcPr>
          <w:p>
            <w:r>
              <w:rPr>
                <w:color w:val="FFFFFF"/>
              </w:rPr>
            </w:r>
            <w:r>
              <w:rPr>
                <w:b/>
                <w:sz w:val="19"/>
              </w:rPr>
              <w:t>Material</w:t>
            </w:r>
          </w:p>
        </w:tc>
        <w:tc>
          <w:tcPr>
            <w:tcW w:type="dxa" w:w="2340"/>
            <w:shd w:val="clear" w:color="auto" w:fill="1F3A5F"/>
          </w:tcPr>
          <w:p>
            <w:r>
              <w:rPr>
                <w:color w:val="FFFFFF"/>
              </w:rPr>
            </w:r>
            <w:r>
              <w:rPr>
                <w:b/>
                <w:sz w:val="19"/>
              </w:rPr>
              <w:t>Specification</w:t>
            </w:r>
          </w:p>
        </w:tc>
        <w:tc>
          <w:tcPr>
            <w:tcW w:type="dxa" w:w="2340"/>
            <w:shd w:val="clear" w:color="auto" w:fill="1F3A5F"/>
          </w:tcPr>
          <w:p>
            <w:r>
              <w:rPr>
                <w:color w:val="FFFFFF"/>
              </w:rPr>
            </w:r>
            <w:r>
              <w:rPr>
                <w:b/>
                <w:sz w:val="19"/>
              </w:rPr>
              <w:t>Form</w:t>
            </w:r>
          </w:p>
        </w:tc>
        <w:tc>
          <w:tcPr>
            <w:tcW w:type="dxa" w:w="2340"/>
            <w:shd w:val="clear" w:color="auto" w:fill="1F3A5F"/>
          </w:tcPr>
          <w:p>
            <w:r>
              <w:rPr>
                <w:color w:val="FFFFFF"/>
              </w:rPr>
            </w:r>
            <w:r>
              <w:rPr>
                <w:b/>
                <w:sz w:val="19"/>
              </w:rPr>
              <w:t>Main use</w:t>
            </w:r>
          </w:p>
        </w:tc>
      </w:tr>
      <w:tr>
        <w:tc>
          <w:tcPr>
            <w:tcW w:type="dxa" w:w="2340"/>
          </w:tcPr>
          <w:p>
            <w:r/>
            <w:r>
              <w:rPr>
                <w:b w:val="0"/>
                <w:sz w:val="19"/>
              </w:rPr>
              <w:t>Aluminum 6061-T6</w:t>
            </w:r>
          </w:p>
        </w:tc>
        <w:tc>
          <w:tcPr>
            <w:tcW w:type="dxa" w:w="2340"/>
          </w:tcPr>
          <w:p>
            <w:r/>
            <w:r>
              <w:rPr>
                <w:b w:val="0"/>
                <w:sz w:val="19"/>
              </w:rPr>
              <w:t>ASTM B221</w:t>
            </w:r>
          </w:p>
        </w:tc>
        <w:tc>
          <w:tcPr>
            <w:tcW w:type="dxa" w:w="2340"/>
          </w:tcPr>
          <w:p>
            <w:r/>
            <w:r>
              <w:rPr>
                <w:b w:val="0"/>
                <w:sz w:val="19"/>
              </w:rPr>
              <w:t>Extruded and drawn bar</w:t>
            </w:r>
          </w:p>
        </w:tc>
        <w:tc>
          <w:tcPr>
            <w:tcW w:type="dxa" w:w="2340"/>
          </w:tcPr>
          <w:p>
            <w:r/>
            <w:r>
              <w:rPr>
                <w:b w:val="0"/>
                <w:sz w:val="19"/>
              </w:rPr>
              <w:t>Brackets, mounts, pump components</w:t>
            </w:r>
          </w:p>
        </w:tc>
      </w:tr>
      <w:tr>
        <w:tc>
          <w:tcPr>
            <w:tcW w:type="dxa" w:w="2340"/>
            <w:shd w:val="clear" w:color="auto" w:fill="EEF2F6"/>
          </w:tcPr>
          <w:p>
            <w:r/>
            <w:r>
              <w:rPr>
                <w:b w:val="0"/>
                <w:sz w:val="19"/>
              </w:rPr>
              <w:t>Aluminum 7075-T651</w:t>
            </w:r>
          </w:p>
        </w:tc>
        <w:tc>
          <w:tcPr>
            <w:tcW w:type="dxa" w:w="2340"/>
            <w:shd w:val="clear" w:color="auto" w:fill="EEF2F6"/>
          </w:tcPr>
          <w:p>
            <w:r/>
            <w:r>
              <w:rPr>
                <w:b w:val="0"/>
                <w:sz w:val="19"/>
              </w:rPr>
              <w:t>AMS 4045</w:t>
            </w:r>
          </w:p>
        </w:tc>
        <w:tc>
          <w:tcPr>
            <w:tcW w:type="dxa" w:w="2340"/>
            <w:shd w:val="clear" w:color="auto" w:fill="EEF2F6"/>
          </w:tcPr>
          <w:p>
            <w:r/>
            <w:r>
              <w:rPr>
                <w:b w:val="0"/>
                <w:sz w:val="19"/>
              </w:rPr>
              <w:t>Plate and bar</w:t>
            </w:r>
          </w:p>
        </w:tc>
        <w:tc>
          <w:tcPr>
            <w:tcW w:type="dxa" w:w="2340"/>
            <w:shd w:val="clear" w:color="auto" w:fill="EEF2F6"/>
          </w:tcPr>
          <w:p>
            <w:r/>
            <w:r>
              <w:rPr>
                <w:b w:val="0"/>
                <w:sz w:val="19"/>
              </w:rPr>
              <w:t>Transmission housings, end covers</w:t>
            </w:r>
          </w:p>
        </w:tc>
      </w:tr>
      <w:tr>
        <w:tc>
          <w:tcPr>
            <w:tcW w:type="dxa" w:w="2340"/>
          </w:tcPr>
          <w:p>
            <w:r/>
            <w:r>
              <w:rPr>
                <w:b w:val="0"/>
                <w:sz w:val="19"/>
              </w:rPr>
              <w:t>Steel 4140, pre-hardened</w:t>
            </w:r>
          </w:p>
        </w:tc>
        <w:tc>
          <w:tcPr>
            <w:tcW w:type="dxa" w:w="2340"/>
          </w:tcPr>
          <w:p>
            <w:r/>
            <w:r>
              <w:rPr>
                <w:b w:val="0"/>
                <w:sz w:val="19"/>
              </w:rPr>
              <w:t>ASTM A29</w:t>
            </w:r>
          </w:p>
        </w:tc>
        <w:tc>
          <w:tcPr>
            <w:tcW w:type="dxa" w:w="2340"/>
          </w:tcPr>
          <w:p>
            <w:r/>
            <w:r>
              <w:rPr>
                <w:b w:val="0"/>
                <w:sz w:val="19"/>
              </w:rPr>
              <w:t>Round bar</w:t>
            </w:r>
          </w:p>
        </w:tc>
        <w:tc>
          <w:tcPr>
            <w:tcW w:type="dxa" w:w="2340"/>
          </w:tcPr>
          <w:p>
            <w:r/>
            <w:r>
              <w:rPr>
                <w:b w:val="0"/>
                <w:sz w:val="19"/>
              </w:rPr>
              <w:t>Valve bodies, manifold blocks</w:t>
            </w:r>
          </w:p>
        </w:tc>
      </w:tr>
    </w:tbl>
    <w:p/>
    <w:p>
      <w:pPr>
        <w:pStyle w:val="Heading1"/>
      </w:pPr>
      <w:r>
        <w:t>3. Quality system</w:t>
      </w:r>
    </w:p>
    <w:p>
      <w:pPr>
        <w:ind w:left="432" w:hanging="360"/>
      </w:pPr>
      <w:r>
        <w:rPr>
          <w:b w:val="0"/>
        </w:rPr>
        <w:t>1.  The Supplier maintains a quality management system certified to ISO 9001 and tells Atlas within 10 business days if its certification is suspended or withdrawn.</w:t>
      </w:r>
    </w:p>
    <w:p>
      <w:pPr>
        <w:ind w:left="432" w:hanging="360"/>
      </w:pPr>
      <w:r>
        <w:rPr>
          <w:b w:val="0"/>
        </w:rPr>
        <w:t>2.  The Supplier keeps lot traceability from melt or cast lot to the delivered bar, and keeps the records for ten years.</w:t>
      </w:r>
    </w:p>
    <w:p>
      <w:pPr>
        <w:ind w:left="432" w:hanging="360"/>
      </w:pPr>
      <w:r>
        <w:rPr>
          <w:b w:val="0"/>
        </w:rPr>
        <w:t>3.  Atlas may audit the Supplier's facility once a year on 10 business days' notice, and at any time after a significant quality escape.</w:t>
      </w:r>
    </w:p>
    <w:p>
      <w:pPr>
        <w:pStyle w:val="Heading1"/>
      </w:pPr>
      <w:r>
        <w:t>4. Certification and delivery</w:t>
      </w:r>
    </w:p>
    <w:p>
      <w:pPr>
        <w:pStyle w:val="ListBullet"/>
      </w:pPr>
      <w:r>
        <w:rPr>
          <w:b w:val="0"/>
        </w:rPr>
        <w:t>Each delivery is accompanied by a mill test certificate for every lot, stating chemical composition, mechanical properties and heat treatment.</w:t>
      </w:r>
    </w:p>
    <w:p>
      <w:pPr>
        <w:pStyle w:val="ListBullet"/>
      </w:pPr>
      <w:r>
        <w:rPr>
          <w:b w:val="0"/>
        </w:rPr>
        <w:t>Each bar bundle is labeled with the lot number, material, specification and Atlas part number.</w:t>
      </w:r>
    </w:p>
    <w:p>
      <w:pPr>
        <w:pStyle w:val="ListBullet"/>
      </w:pPr>
      <w:r>
        <w:rPr>
          <w:b w:val="0"/>
        </w:rPr>
        <w:t>Bar straightness, outside diameter and length tolerances are as stated on the purchase order.</w:t>
      </w:r>
    </w:p>
    <w:p>
      <w:pPr>
        <w:pStyle w:val="Heading1"/>
      </w:pPr>
      <w:r>
        <w:t>5. Quality targets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A5F"/>
          </w:tcPr>
          <w:p>
            <w:r>
              <w:rPr>
                <w:color w:val="FFFFFF"/>
              </w:rPr>
            </w:r>
            <w:r>
              <w:rPr>
                <w:b/>
                <w:sz w:val="19"/>
              </w:rPr>
              <w:t>Measure</w:t>
            </w:r>
          </w:p>
        </w:tc>
        <w:tc>
          <w:tcPr>
            <w:tcW w:type="dxa" w:w="3120"/>
            <w:shd w:val="clear" w:color="auto" w:fill="1F3A5F"/>
          </w:tcPr>
          <w:p>
            <w:r>
              <w:rPr>
                <w:color w:val="FFFFFF"/>
              </w:rPr>
            </w:r>
            <w:r>
              <w:rPr>
                <w:b/>
                <w:sz w:val="19"/>
              </w:rPr>
              <w:t>Target</w:t>
            </w:r>
          </w:p>
        </w:tc>
        <w:tc>
          <w:tcPr>
            <w:tcW w:type="dxa" w:w="3120"/>
            <w:shd w:val="clear" w:color="auto" w:fill="1F3A5F"/>
          </w:tcPr>
          <w:p>
            <w:r>
              <w:rPr>
                <w:color w:val="FFFFFF"/>
              </w:rPr>
            </w:r>
            <w:r>
              <w:rPr>
                <w:b/>
                <w:sz w:val="19"/>
              </w:rPr>
              <w:t>Basis</w:t>
            </w:r>
          </w:p>
        </w:tc>
      </w:tr>
      <w:tr>
        <w:tc>
          <w:tcPr>
            <w:tcW w:type="dxa" w:w="3120"/>
          </w:tcPr>
          <w:p>
            <w:r/>
            <w:r>
              <w:rPr>
                <w:b w:val="0"/>
                <w:sz w:val="19"/>
              </w:rPr>
              <w:t>Defective parts per million (PPM) delivered</w:t>
            </w:r>
          </w:p>
        </w:tc>
        <w:tc>
          <w:tcPr>
            <w:tcW w:type="dxa" w:w="3120"/>
          </w:tcPr>
          <w:p>
            <w:r/>
            <w:r>
              <w:rPr>
                <w:b w:val="0"/>
                <w:sz w:val="19"/>
              </w:rPr>
              <w:t>500 or fewer</w:t>
            </w:r>
          </w:p>
        </w:tc>
        <w:tc>
          <w:tcPr>
            <w:tcW w:type="dxa" w:w="3120"/>
          </w:tcPr>
          <w:p>
            <w:r/>
            <w:r>
              <w:rPr>
                <w:b w:val="0"/>
                <w:sz w:val="19"/>
              </w:rPr>
              <w:t>Quarterly, from incoming and in-process findings</w:t>
            </w:r>
          </w:p>
        </w:tc>
      </w:tr>
      <w:tr>
        <w:tc>
          <w:tcPr>
            <w:tcW w:type="dxa" w:w="3120"/>
            <w:shd w:val="clear" w:color="auto" w:fill="EEF2F6"/>
          </w:tcPr>
          <w:p>
            <w:r/>
            <w:r>
              <w:rPr>
                <w:b w:val="0"/>
                <w:sz w:val="19"/>
              </w:rPr>
              <w:t>Lot rejection rate at incoming inspection</w:t>
            </w:r>
          </w:p>
        </w:tc>
        <w:tc>
          <w:tcPr>
            <w:tcW w:type="dxa" w:w="3120"/>
            <w:shd w:val="clear" w:color="auto" w:fill="EEF2F6"/>
          </w:tcPr>
          <w:p>
            <w:r/>
            <w:r>
              <w:rPr>
                <w:b w:val="0"/>
                <w:sz w:val="19"/>
              </w:rPr>
              <w:t>1.0 percent of lots or less</w:t>
            </w:r>
          </w:p>
        </w:tc>
        <w:tc>
          <w:tcPr>
            <w:tcW w:type="dxa" w:w="3120"/>
            <w:shd w:val="clear" w:color="auto" w:fill="EEF2F6"/>
          </w:tcPr>
          <w:p>
            <w:r/>
            <w:r>
              <w:rPr>
                <w:b w:val="0"/>
                <w:sz w:val="19"/>
              </w:rPr>
              <w:t>Quarterly</w:t>
            </w:r>
          </w:p>
        </w:tc>
      </w:tr>
      <w:tr>
        <w:tc>
          <w:tcPr>
            <w:tcW w:type="dxa" w:w="3120"/>
          </w:tcPr>
          <w:p>
            <w:r/>
            <w:r>
              <w:rPr>
                <w:b w:val="0"/>
                <w:sz w:val="19"/>
              </w:rPr>
              <w:t>On-time delivery</w:t>
            </w:r>
          </w:p>
        </w:tc>
        <w:tc>
          <w:tcPr>
            <w:tcW w:type="dxa" w:w="3120"/>
          </w:tcPr>
          <w:p>
            <w:r/>
            <w:r>
              <w:rPr>
                <w:b w:val="0"/>
                <w:sz w:val="19"/>
              </w:rPr>
              <w:t>95 percent of line items or more</w:t>
            </w:r>
          </w:p>
        </w:tc>
        <w:tc>
          <w:tcPr>
            <w:tcW w:type="dxa" w:w="3120"/>
          </w:tcPr>
          <w:p>
            <w:r/>
            <w:r>
              <w:rPr>
                <w:b w:val="0"/>
                <w:sz w:val="19"/>
              </w:rPr>
              <w:t>Within one business day of the confirmed date</w:t>
            </w:r>
          </w:p>
        </w:tc>
      </w:tr>
      <w:tr>
        <w:tc>
          <w:tcPr>
            <w:tcW w:type="dxa" w:w="3120"/>
            <w:shd w:val="clear" w:color="auto" w:fill="EEF2F6"/>
          </w:tcPr>
          <w:p>
            <w:r/>
            <w:r>
              <w:rPr>
                <w:b w:val="0"/>
                <w:sz w:val="19"/>
              </w:rPr>
              <w:t>Containment after notice of a nonconformance</w:t>
            </w:r>
          </w:p>
        </w:tc>
        <w:tc>
          <w:tcPr>
            <w:tcW w:type="dxa" w:w="3120"/>
            <w:shd w:val="clear" w:color="auto" w:fill="EEF2F6"/>
          </w:tcPr>
          <w:p>
            <w:r/>
            <w:r>
              <w:rPr>
                <w:b w:val="0"/>
                <w:sz w:val="19"/>
              </w:rPr>
              <w:t>Within 24 hours</w:t>
            </w:r>
          </w:p>
        </w:tc>
        <w:tc>
          <w:tcPr>
            <w:tcW w:type="dxa" w:w="3120"/>
            <w:shd w:val="clear" w:color="auto" w:fill="EEF2F6"/>
          </w:tcPr>
          <w:p>
            <w:r/>
            <w:r>
              <w:rPr>
                <w:b w:val="0"/>
                <w:sz w:val="19"/>
              </w:rPr>
              <w:t>Per event</w:t>
            </w:r>
          </w:p>
        </w:tc>
      </w:tr>
      <w:tr>
        <w:tc>
          <w:tcPr>
            <w:tcW w:type="dxa" w:w="3120"/>
          </w:tcPr>
          <w:p>
            <w:r/>
            <w:r>
              <w:rPr>
                <w:b w:val="0"/>
                <w:sz w:val="19"/>
              </w:rPr>
              <w:t>8D report after notice of a nonconformance</w:t>
            </w:r>
          </w:p>
        </w:tc>
        <w:tc>
          <w:tcPr>
            <w:tcW w:type="dxa" w:w="3120"/>
          </w:tcPr>
          <w:p>
            <w:r/>
            <w:r>
              <w:rPr>
                <w:b w:val="0"/>
                <w:sz w:val="19"/>
              </w:rPr>
              <w:t>Within 10 business days</w:t>
            </w:r>
          </w:p>
        </w:tc>
        <w:tc>
          <w:tcPr>
            <w:tcW w:type="dxa" w:w="3120"/>
          </w:tcPr>
          <w:p>
            <w:r/>
            <w:r>
              <w:rPr>
                <w:b w:val="0"/>
                <w:sz w:val="19"/>
              </w:rPr>
              <w:t>Per event</w:t>
            </w:r>
          </w:p>
        </w:tc>
      </w:tr>
      <w:tr>
        <w:tc>
          <w:tcPr>
            <w:tcW w:type="dxa" w:w="3120"/>
            <w:shd w:val="clear" w:color="auto" w:fill="EEF2F6"/>
          </w:tcPr>
          <w:p>
            <w:r/>
            <w:r>
              <w:rPr>
                <w:b w:val="0"/>
                <w:sz w:val="19"/>
              </w:rPr>
              <w:t>Mill test certificate with each lot</w:t>
            </w:r>
          </w:p>
        </w:tc>
        <w:tc>
          <w:tcPr>
            <w:tcW w:type="dxa" w:w="3120"/>
            <w:shd w:val="clear" w:color="auto" w:fill="EEF2F6"/>
          </w:tcPr>
          <w:p>
            <w:r/>
            <w:r>
              <w:rPr>
                <w:b w:val="0"/>
                <w:sz w:val="19"/>
              </w:rPr>
              <w:t>100 percent of lots</w:t>
            </w:r>
          </w:p>
        </w:tc>
        <w:tc>
          <w:tcPr>
            <w:tcW w:type="dxa" w:w="3120"/>
            <w:shd w:val="clear" w:color="auto" w:fill="EEF2F6"/>
          </w:tcPr>
          <w:p>
            <w:r/>
            <w:r>
              <w:rPr>
                <w:b w:val="0"/>
                <w:sz w:val="19"/>
              </w:rPr>
              <w:t>Per delivery</w:t>
            </w:r>
          </w:p>
        </w:tc>
      </w:tr>
    </w:tbl>
    <w:p/>
    <w:p>
      <w:r>
        <w:rPr>
          <w:b w:val="0"/>
          <w:i/>
          <w:sz w:val="18"/>
        </w:rPr>
        <w:t>Table 1. Supplier quality targets, measured quarterly.</w:t>
      </w:r>
    </w:p>
    <w:p>
      <w:r>
        <w:rPr>
          <w:b w:val="0"/>
        </w:rPr>
        <w:t>PPM means defective parts per million delivered, counted from nonconformances recorded at Atlas incoming inspection or found during machining that are caused by the material. Atlas reports the figures to the Supplier within 10 business days of each quarter end.</w:t>
      </w:r>
    </w:p>
    <w:p>
      <w:pPr>
        <w:pStyle w:val="Heading1"/>
      </w:pPr>
      <w:r>
        <w:t>6. Incoming inspection</w:t>
      </w:r>
    </w:p>
    <w:p>
      <w:r>
        <w:rPr>
          <w:b w:val="0"/>
        </w:rPr>
        <w:t>Atlas inspects each lot on receipt, using sampling plans from ANSI/ASQ Z1.4, general inspection level II. The acceptance quality limit (AQL) is 1.0 for dimensional characteristics and 0.65 for critical characteristics such as hardness and surface condition. A lot is rejected when the sample exceeds the acceptance number.</w:t>
      </w:r>
    </w:p>
    <w:p>
      <w:r>
        <w:rPr>
          <w:b w:val="0"/>
        </w:rPr>
        <w:t>Atlas may carry out additional testing, including ultrasonic testing of aluminum plate for internal porosity and inclusions, and hardness testing of every steel heat.</w:t>
      </w:r>
    </w:p>
    <w:p>
      <w:pPr>
        <w:pStyle w:val="Heading1"/>
      </w:pPr>
      <w:r>
        <w:t>7. Nonconforming material</w:t>
      </w:r>
    </w:p>
    <w:p>
      <w:pPr>
        <w:ind w:left="432" w:hanging="360"/>
      </w:pPr>
      <w:r>
        <w:rPr>
          <w:b w:val="0"/>
        </w:rPr>
        <w:t>1.  Atlas records each nonconformance caused by the material in its quality system with the defect type material_flaw. Material rejected at incoming inspection is given the disposition return_to_supplier.</w:t>
      </w:r>
    </w:p>
    <w:p>
      <w:pPr>
        <w:ind w:left="432" w:hanging="360"/>
      </w:pPr>
      <w:r>
        <w:rPr>
          <w:b w:val="0"/>
        </w:rPr>
        <w:t>2.  The Supplier starts containment within 24 hours of notice, and sends an 8D report within 10 business days.</w:t>
      </w:r>
    </w:p>
    <w:p>
      <w:pPr>
        <w:ind w:left="432" w:hanging="360"/>
      </w:pPr>
      <w:r>
        <w:rPr>
          <w:b w:val="0"/>
        </w:rPr>
        <w:t>3.  The Supplier issues a credit note or replacement within 15 days of the return of the rejected material.</w:t>
      </w:r>
    </w:p>
    <w:p>
      <w:pPr>
        <w:ind w:left="432" w:hanging="360"/>
      </w:pPr>
      <w:r>
        <w:rPr>
          <w:b w:val="0"/>
        </w:rPr>
        <w:t>4.  If a nonconformance is found after the material has been machined, Atlas may charge back the verified cost of the machining that was wasted, at the actual cost documented in the scrap record, and a sort and handling charge of 250 USD per rejected lot plus 65 USD per hour of sorting labor.</w:t>
      </w:r>
    </w:p>
    <w:p>
      <w:pPr>
        <w:pStyle w:val="Heading1"/>
      </w:pPr>
      <w:r>
        <w:t>8. Change control</w:t>
      </w:r>
    </w:p>
    <w:p>
      <w:r>
        <w:rPr>
          <w:b w:val="0"/>
        </w:rPr>
        <w:t>The Supplier gives Atlas at least 90 days' written notice before any change of melt source, process, heat treatment, plant or sub-supplier. Atlas must approve the change in writing before the first shipment that includes it, and may require first article samples and a revalidation.</w:t>
      </w:r>
    </w:p>
    <w:p>
      <w:pPr>
        <w:pStyle w:val="Heading1"/>
      </w:pPr>
      <w:r>
        <w:t>9. Continuous improvement</w:t>
      </w:r>
    </w:p>
    <w:p>
      <w:r>
        <w:rPr>
          <w:b w:val="0"/>
        </w:rPr>
        <w:t>The Supplier and Atlas meet each quarter to review the quality targets, open 8D reports and improvement plans. If PPM exceeds twice the target in any quarter, the Supplier submits a recovery plan within 20 business days.</w:t>
      </w:r>
    </w:p>
    <w:p>
      <w:pPr>
        <w:pStyle w:val="Heading1"/>
      </w:pPr>
      <w:r>
        <w:t>10. Term and termination</w:t>
      </w:r>
    </w:p>
    <w:p>
      <w:r>
        <w:rPr>
          <w:b w:val="0"/>
        </w:rPr>
        <w:t>The Agreement takes effect on 1 January 2026 and runs for three years. Either party may end it on 180 days' written notice. Atlas may place the Supplier on controlled shipping, with 100 percent inspection at the Supplier's cost, after two consecutive quarters in which the lot rejection rate is above the target.</w:t>
      </w:r>
    </w:p>
    <w:p>
      <w:pPr>
        <w:pStyle w:val="Heading1"/>
      </w:pPr>
      <w:r>
        <w:t>11. Signatures</w:t>
      </w:r>
    </w:p>
    <w:tbl>
      <w:tblPr>
        <w:tblStyle w:val="TableGrid"/>
        <w:tblW w:type="auto" w:w="0"/>
        <w:tblLook w:firstColumn="1" w:firstRow="1" w:lastColumn="0" w:lastRow="0" w:noHBand="0" w:noVBand="1" w:val="04A0"/>
      </w:tblPr>
      <w:tblGrid>
        <w:gridCol w:w="4680"/>
        <w:gridCol w:w="4680"/>
      </w:tblGrid>
      <w:tr>
        <w:tc>
          <w:tcPr>
            <w:tcW w:type="dxa" w:w="4680"/>
            <w:shd w:val="clear" w:color="auto" w:fill="1F3A5F"/>
          </w:tcPr>
          <w:p>
            <w:r>
              <w:rPr>
                <w:color w:val="FFFFFF"/>
              </w:rPr>
            </w:r>
            <w:r>
              <w:rPr>
                <w:b/>
                <w:sz w:val="19"/>
              </w:rPr>
              <w:t>For Atlas Precision Components</w:t>
            </w:r>
          </w:p>
        </w:tc>
        <w:tc>
          <w:tcPr>
            <w:tcW w:type="dxa" w:w="4680"/>
            <w:shd w:val="clear" w:color="auto" w:fill="1F3A5F"/>
          </w:tcPr>
          <w:p>
            <w:r>
              <w:rPr>
                <w:color w:val="FFFFFF"/>
              </w:rPr>
            </w:r>
            <w:r>
              <w:rPr>
                <w:b/>
                <w:sz w:val="19"/>
              </w:rPr>
              <w:t>For Halvorsen Alloys Ltd.</w:t>
            </w:r>
          </w:p>
        </w:tc>
      </w:tr>
      <w:tr>
        <w:tc>
          <w:tcPr>
            <w:tcW w:type="dxa" w:w="4680"/>
          </w:tcPr>
          <w:p>
            <w:r/>
            <w:r>
              <w:rPr>
                <w:b w:val="0"/>
                <w:sz w:val="19"/>
              </w:rPr>
              <w:t>Name: Priya Natarajan, Vice President, Supply Chain</w:t>
            </w:r>
          </w:p>
        </w:tc>
        <w:tc>
          <w:tcPr>
            <w:tcW w:type="dxa" w:w="4680"/>
          </w:tcPr>
          <w:p>
            <w:r/>
            <w:r>
              <w:rPr>
                <w:b w:val="0"/>
                <w:sz w:val="19"/>
              </w:rPr>
              <w:t>Name: Anders Holm, Managing Director</w:t>
            </w:r>
          </w:p>
        </w:tc>
      </w:tr>
      <w:tr>
        <w:tc>
          <w:tcPr>
            <w:tcW w:type="dxa" w:w="4680"/>
            <w:shd w:val="clear" w:color="auto" w:fill="EEF2F6"/>
          </w:tcPr>
          <w:p>
            <w:r/>
            <w:r>
              <w:rPr>
                <w:b w:val="0"/>
                <w:sz w:val="19"/>
              </w:rPr>
              <w:t>Date: 18 December 2025</w:t>
            </w:r>
          </w:p>
        </w:tc>
        <w:tc>
          <w:tcPr>
            <w:tcW w:type="dxa" w:w="4680"/>
            <w:shd w:val="clear" w:color="auto" w:fill="EEF2F6"/>
          </w:tcPr>
          <w:p>
            <w:r/>
            <w:r>
              <w:rPr>
                <w:b w:val="0"/>
                <w:sz w:val="19"/>
              </w:rPr>
              <w:t>Date: 19 December 2025</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document for a software demonstration. Not for operational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Atlas Precision Components  |  SQA-HAL-2026  |  Version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Quality Agreement</dc:title>
  <dc:subject>Atlas Precision Components and Halvorsen Alloys Ltd.</dc:subject>
  <dc:creator>Atlas Precision Components</dc:creator>
  <cp:keywords/>
  <dc:description>Synthetic document for a software demonstration.</dc:description>
  <cp:lastModifiedBy>Atlas Precision Components</cp:lastModifiedBy>
  <cp:revision>1</cp:revision>
  <dcterms:created xsi:type="dcterms:W3CDTF">2026-09-30T12:00:00Z</dcterms:created>
  <dcterms:modified xsi:type="dcterms:W3CDTF">2026-09-30T12:00:00Z</dcterms:modified>
  <cp:category/>
</cp:coreProperties>
</file>