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Payer Contract Summary: Denials and Appeals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E8F0F5"/>
          </w:tcPr>
          <w:p>
            <w:r/>
            <w:r>
              <w:rPr>
                <w:b/>
                <w:sz w:val="19"/>
              </w:rPr>
              <w:t>Document ID</w:t>
            </w:r>
          </w:p>
        </w:tc>
        <w:tc>
          <w:tcPr>
            <w:tcW w:type="dxa" w:w="2412"/>
          </w:tcPr>
          <w:p>
            <w:r/>
            <w:r>
              <w:rPr>
                <w:sz w:val="19"/>
              </w:rPr>
              <w:t>RHN-CON-009</w:t>
            </w:r>
          </w:p>
        </w:tc>
        <w:tc>
          <w:tcPr>
            <w:tcW w:type="dxa" w:w="2412"/>
            <w:shd w:val="clear" w:color="auto" w:fill="E8F0F5"/>
          </w:tcPr>
          <w:p>
            <w:r/>
            <w:r>
              <w:rPr>
                <w:b/>
                <w:sz w:val="19"/>
              </w:rPr>
              <w:t>Version</w:t>
            </w:r>
          </w:p>
        </w:tc>
        <w:tc>
          <w:tcPr>
            <w:tcW w:type="dxa" w:w="2412"/>
          </w:tcPr>
          <w:p>
            <w:r/>
            <w:r>
              <w:rPr>
                <w:sz w:val="19"/>
              </w:rPr>
              <w:t>2026.3</w:t>
            </w:r>
          </w:p>
        </w:tc>
      </w:tr>
      <w:tr>
        <w:tc>
          <w:tcPr>
            <w:tcW w:type="dxa" w:w="2412"/>
            <w:shd w:val="clear" w:color="auto" w:fill="E8F0F5"/>
          </w:tcPr>
          <w:p>
            <w:r/>
            <w:r>
              <w:rPr>
                <w:b/>
                <w:sz w:val="19"/>
              </w:rPr>
              <w:t>Effective</w:t>
            </w:r>
          </w:p>
        </w:tc>
        <w:tc>
          <w:tcPr>
            <w:tcW w:type="dxa" w:w="2412"/>
          </w:tcPr>
          <w:p>
            <w:r/>
            <w:r>
              <w:rPr>
                <w:sz w:val="19"/>
              </w:rPr>
              <w:t>2026-07-01</w:t>
            </w:r>
          </w:p>
        </w:tc>
        <w:tc>
          <w:tcPr>
            <w:tcW w:type="dxa" w:w="2412"/>
            <w:shd w:val="clear" w:color="auto" w:fill="E8F0F5"/>
          </w:tcPr>
          <w:p>
            <w:r/>
            <w:r>
              <w:rPr>
                <w:b/>
                <w:sz w:val="19"/>
              </w:rPr>
              <w:t>Review by</w:t>
            </w:r>
          </w:p>
        </w:tc>
        <w:tc>
          <w:tcPr>
            <w:tcW w:type="dxa" w:w="2412"/>
          </w:tcPr>
          <w:p>
            <w:r/>
            <w:r>
              <w:rPr>
                <w:sz w:val="19"/>
              </w:rPr>
              <w:t>2027-01-01</w:t>
            </w:r>
          </w:p>
        </w:tc>
      </w:tr>
      <w:tr>
        <w:tc>
          <w:tcPr>
            <w:tcW w:type="dxa" w:w="2412"/>
            <w:shd w:val="clear" w:color="auto" w:fill="E8F0F5"/>
          </w:tcPr>
          <w:p>
            <w:r/>
            <w:r>
              <w:rPr>
                <w:b/>
                <w:sz w:val="19"/>
              </w:rPr>
              <w:t>Owner</w:t>
            </w:r>
          </w:p>
        </w:tc>
        <w:tc>
          <w:tcPr>
            <w:tcW w:type="dxa" w:w="7236"/>
            <w:gridSpan w:val="3"/>
          </w:tcPr>
          <w:p>
            <w:r/>
            <w:r>
              <w:rPr>
                <w:sz w:val="19"/>
              </w:rPr>
              <w:t>Managed Care Contracting and Denials Management</w:t>
            </w:r>
          </w:p>
        </w:tc>
      </w:tr>
      <w:tr>
        <w:tc>
          <w:tcPr>
            <w:tcW w:type="dxa" w:w="2412"/>
            <w:shd w:val="clear" w:color="auto" w:fill="E8F0F5"/>
          </w:tcPr>
          <w:p>
            <w:r/>
            <w:r>
              <w:rPr>
                <w:b/>
                <w:sz w:val="19"/>
              </w:rPr>
              <w:t>Approved by</w:t>
            </w:r>
          </w:p>
        </w:tc>
        <w:tc>
          <w:tcPr>
            <w:tcW w:type="dxa" w:w="7236"/>
            <w:gridSpan w:val="3"/>
          </w:tcPr>
          <w:p>
            <w:r/>
            <w:r>
              <w:rPr>
                <w:sz w:val="19"/>
              </w:rPr>
              <w:t>Revenue Cycle Committee</w:t>
            </w:r>
          </w:p>
        </w:tc>
      </w:tr>
      <w:tr>
        <w:tc>
          <w:tcPr>
            <w:tcW w:type="dxa" w:w="2412"/>
            <w:shd w:val="clear" w:color="auto" w:fill="E8F0F5"/>
          </w:tcPr>
          <w:p>
            <w:r/>
            <w:r>
              <w:rPr>
                <w:b/>
                <w:sz w:val="19"/>
              </w:rPr>
              <w:t>Applies to</w:t>
            </w:r>
          </w:p>
        </w:tc>
        <w:tc>
          <w:tcPr>
            <w:tcW w:type="dxa" w:w="7236"/>
            <w:gridSpan w:val="3"/>
          </w:tcPr>
          <w:p>
            <w:r/>
            <w:r>
              <w:rPr>
                <w:sz w:val="19"/>
              </w:rPr>
              <w:t>Claims for services delivered at all Riverside Health Network facilities</w:t>
            </w:r>
          </w:p>
        </w:tc>
      </w:tr>
    </w:tbl>
    <w:p/>
    <w:p>
      <w:pPr>
        <w:pStyle w:val="Heading1"/>
      </w:pPr>
      <w:r>
        <w:t>1. Purpose</w:t>
      </w:r>
    </w:p>
    <w:p>
      <w:r>
        <w:t>This summary gives Revenue Cycle and Denials Management staff the contract terms that decide whether a denied claim can still be appealed. It condenses the payer agreements and, for Medicare and Medicaid, the program rules. If this summary and a signed contract differ, the contract controls.</w:t>
      </w:r>
    </w:p>
    <w:p>
      <w:pPr>
        <w:pStyle w:val="Heading1"/>
      </w:pPr>
      <w:r>
        <w:t>2. How the appeal window works</w:t>
      </w:r>
    </w:p>
    <w:p>
      <w:r>
        <w:t>The first-level appeal window runs in calendar days from the date on the payer's denial notice (the adjudication date in the claims system). A claim is appealable on a given date if that date is on or before the notice date plus the window. An appeal that arrives after the window closes is rejected as untimely and the balance is written off. The window is the same for every denial reason, including "Prior authorization missing", "Medical necessity" and "Coding error".</w:t>
      </w:r>
    </w:p>
    <w:p>
      <w:pPr>
        <w:pStyle w:val="Heading1"/>
      </w:pPr>
      <w:r>
        <w:t>3. Payer terms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199"/>
            <w:shd w:val="clear" w:color="auto" w:fill="0B3C5D"/>
          </w:tcPr>
          <w:p>
            <w:r/>
            <w:r>
              <w:rPr>
                <w:b/>
                <w:color w:val="FFFFFF"/>
                <w:sz w:val="17"/>
              </w:rPr>
              <w:t>Payer</w:t>
            </w:r>
          </w:p>
        </w:tc>
        <w:tc>
          <w:tcPr>
            <w:tcW w:type="dxa" w:w="2053"/>
            <w:shd w:val="clear" w:color="auto" w:fill="0B3C5D"/>
          </w:tcPr>
          <w:p>
            <w:r/>
            <w:r>
              <w:rPr>
                <w:b/>
                <w:color w:val="FFFFFF"/>
                <w:sz w:val="17"/>
              </w:rPr>
              <w:t>Plan type</w:t>
            </w:r>
          </w:p>
        </w:tc>
        <w:tc>
          <w:tcPr>
            <w:tcW w:type="dxa" w:w="1412"/>
            <w:shd w:val="clear" w:color="auto" w:fill="0B3C5D"/>
          </w:tcPr>
          <w:p>
            <w:r/>
            <w:r>
              <w:rPr>
                <w:b/>
                <w:color w:val="FFFFFF"/>
                <w:sz w:val="17"/>
              </w:rPr>
              <w:t>First-level appeal window</w:t>
            </w:r>
          </w:p>
        </w:tc>
        <w:tc>
          <w:tcPr>
            <w:tcW w:type="dxa" w:w="1839"/>
            <w:shd w:val="clear" w:color="auto" w:fill="0B3C5D"/>
          </w:tcPr>
          <w:p>
            <w:r/>
            <w:r>
              <w:rPr>
                <w:b/>
                <w:color w:val="FFFFFF"/>
                <w:sz w:val="17"/>
              </w:rPr>
              <w:t>Where to file</w:t>
            </w:r>
          </w:p>
        </w:tc>
        <w:tc>
          <w:tcPr>
            <w:tcW w:type="dxa" w:w="1839"/>
            <w:shd w:val="clear" w:color="auto" w:fill="0B3C5D"/>
          </w:tcPr>
          <w:p>
            <w:r/>
            <w:r>
              <w:rPr>
                <w:b/>
                <w:color w:val="FFFFFF"/>
                <w:sz w:val="17"/>
              </w:rPr>
              <w:t>Second-level appeal</w:t>
            </w:r>
          </w:p>
        </w:tc>
        <w:tc>
          <w:tcPr>
            <w:tcW w:type="dxa" w:w="1305"/>
            <w:shd w:val="clear" w:color="auto" w:fill="0B3C5D"/>
          </w:tcPr>
          <w:p>
            <w:r/>
            <w:r>
              <w:rPr>
                <w:b/>
                <w:color w:val="FFFFFF"/>
                <w:sz w:val="17"/>
              </w:rPr>
              <w:t>Timely filing of new claims</w:t>
            </w:r>
          </w:p>
        </w:tc>
      </w:tr>
      <w:tr>
        <w:tc>
          <w:tcPr>
            <w:tcW w:type="dxa" w:w="1199"/>
          </w:tcPr>
          <w:p>
            <w:r/>
            <w:r>
              <w:rPr>
                <w:sz w:val="17"/>
              </w:rPr>
              <w:t>Medicare</w:t>
            </w:r>
          </w:p>
        </w:tc>
        <w:tc>
          <w:tcPr>
            <w:tcW w:type="dxa" w:w="2053"/>
          </w:tcPr>
          <w:p>
            <w:r/>
            <w:r>
              <w:rPr>
                <w:sz w:val="17"/>
              </w:rPr>
              <w:t>Original Medicare (fee-for-service)</w:t>
            </w:r>
          </w:p>
        </w:tc>
        <w:tc>
          <w:tcPr>
            <w:tcW w:type="dxa" w:w="1412"/>
          </w:tcPr>
          <w:p>
            <w:r/>
            <w:r>
              <w:rPr>
                <w:sz w:val="17"/>
              </w:rPr>
              <w:t>120 days from the date of the denial notice</w:t>
            </w:r>
          </w:p>
        </w:tc>
        <w:tc>
          <w:tcPr>
            <w:tcW w:type="dxa" w:w="1839"/>
          </w:tcPr>
          <w:p>
            <w:r/>
            <w:r>
              <w:rPr>
                <w:sz w:val="17"/>
              </w:rPr>
              <w:t>Medicare Administrative Contractor, redetermination request</w:t>
            </w:r>
          </w:p>
        </w:tc>
        <w:tc>
          <w:tcPr>
            <w:tcW w:type="dxa" w:w="1839"/>
          </w:tcPr>
          <w:p>
            <w:r/>
            <w:r>
              <w:rPr>
                <w:sz w:val="17"/>
              </w:rPr>
              <w:t>180 days from the redetermination decision</w:t>
            </w:r>
          </w:p>
        </w:tc>
        <w:tc>
          <w:tcPr>
            <w:tcW w:type="dxa" w:w="1305"/>
          </w:tcPr>
          <w:p>
            <w:r/>
            <w:r>
              <w:rPr>
                <w:sz w:val="17"/>
              </w:rPr>
              <w:t>12 months from the date of service</w:t>
            </w:r>
          </w:p>
        </w:tc>
      </w:tr>
      <w:tr>
        <w:tc>
          <w:tcPr>
            <w:tcW w:type="dxa" w:w="1199"/>
            <w:shd w:val="clear" w:color="auto" w:fill="F1F6F9"/>
          </w:tcPr>
          <w:p>
            <w:r/>
            <w:r>
              <w:rPr>
                <w:sz w:val="17"/>
              </w:rPr>
              <w:t>Northstar Advantage</w:t>
            </w:r>
          </w:p>
        </w:tc>
        <w:tc>
          <w:tcPr>
            <w:tcW w:type="dxa" w:w="2053"/>
            <w:shd w:val="clear" w:color="auto" w:fill="F1F6F9"/>
          </w:tcPr>
          <w:p>
            <w:r/>
            <w:r>
              <w:rPr>
                <w:sz w:val="17"/>
              </w:rPr>
              <w:t>Medicare Advantage health plan</w:t>
            </w:r>
          </w:p>
        </w:tc>
        <w:tc>
          <w:tcPr>
            <w:tcW w:type="dxa" w:w="1412"/>
            <w:shd w:val="clear" w:color="auto" w:fill="F1F6F9"/>
          </w:tcPr>
          <w:p>
            <w:r/>
            <w:r>
              <w:rPr>
                <w:sz w:val="17"/>
              </w:rPr>
              <w:t>60 days from the date of the denial notice</w:t>
            </w:r>
          </w:p>
        </w:tc>
        <w:tc>
          <w:tcPr>
            <w:tcW w:type="dxa" w:w="1839"/>
            <w:shd w:val="clear" w:color="auto" w:fill="F1F6F9"/>
          </w:tcPr>
          <w:p>
            <w:r/>
            <w:r>
              <w:rPr>
                <w:sz w:val="17"/>
              </w:rPr>
              <w:t>Plan appeals portal</w:t>
            </w:r>
          </w:p>
        </w:tc>
        <w:tc>
          <w:tcPr>
            <w:tcW w:type="dxa" w:w="1839"/>
            <w:shd w:val="clear" w:color="auto" w:fill="F1F6F9"/>
          </w:tcPr>
          <w:p>
            <w:r/>
            <w:r>
              <w:rPr>
                <w:sz w:val="17"/>
              </w:rPr>
              <w:t>60 days from the plan's reconsideration decision, to the independent review entity</w:t>
            </w:r>
          </w:p>
        </w:tc>
        <w:tc>
          <w:tcPr>
            <w:tcW w:type="dxa" w:w="1305"/>
            <w:shd w:val="clear" w:color="auto" w:fill="F1F6F9"/>
          </w:tcPr>
          <w:p>
            <w:r/>
            <w:r>
              <w:rPr>
                <w:sz w:val="17"/>
              </w:rPr>
              <w:t>180 days from the date of service</w:t>
            </w:r>
          </w:p>
        </w:tc>
      </w:tr>
      <w:tr>
        <w:tc>
          <w:tcPr>
            <w:tcW w:type="dxa" w:w="1199"/>
          </w:tcPr>
          <w:p>
            <w:r/>
            <w:r>
              <w:rPr>
                <w:sz w:val="17"/>
              </w:rPr>
              <w:t>Medicaid</w:t>
            </w:r>
          </w:p>
        </w:tc>
        <w:tc>
          <w:tcPr>
            <w:tcW w:type="dxa" w:w="2053"/>
          </w:tcPr>
          <w:p>
            <w:r/>
            <w:r>
              <w:rPr>
                <w:sz w:val="17"/>
              </w:rPr>
              <w:t>State Medicaid managed care</w:t>
            </w:r>
          </w:p>
        </w:tc>
        <w:tc>
          <w:tcPr>
            <w:tcW w:type="dxa" w:w="1412"/>
          </w:tcPr>
          <w:p>
            <w:r/>
            <w:r>
              <w:rPr>
                <w:sz w:val="17"/>
              </w:rPr>
              <w:t>90 days from the date of the denial notice</w:t>
            </w:r>
          </w:p>
        </w:tc>
        <w:tc>
          <w:tcPr>
            <w:tcW w:type="dxa" w:w="1839"/>
          </w:tcPr>
          <w:p>
            <w:r/>
            <w:r>
              <w:rPr>
                <w:sz w:val="17"/>
              </w:rPr>
              <w:t>Managed care organization appeals unit</w:t>
            </w:r>
          </w:p>
        </w:tc>
        <w:tc>
          <w:tcPr>
            <w:tcW w:type="dxa" w:w="1839"/>
          </w:tcPr>
          <w:p>
            <w:r/>
            <w:r>
              <w:rPr>
                <w:sz w:val="17"/>
              </w:rPr>
              <w:t>State fair hearing within 120 days of the appeal decision</w:t>
            </w:r>
          </w:p>
        </w:tc>
        <w:tc>
          <w:tcPr>
            <w:tcW w:type="dxa" w:w="1305"/>
          </w:tcPr>
          <w:p>
            <w:r/>
            <w:r>
              <w:rPr>
                <w:sz w:val="17"/>
              </w:rPr>
              <w:t>180 days from the date of service</w:t>
            </w:r>
          </w:p>
        </w:tc>
      </w:tr>
      <w:tr>
        <w:tc>
          <w:tcPr>
            <w:tcW w:type="dxa" w:w="1199"/>
            <w:shd w:val="clear" w:color="auto" w:fill="F1F6F9"/>
          </w:tcPr>
          <w:p>
            <w:r/>
            <w:r>
              <w:rPr>
                <w:sz w:val="17"/>
              </w:rPr>
              <w:t>Evergreen Health Plan</w:t>
            </w:r>
          </w:p>
        </w:tc>
        <w:tc>
          <w:tcPr>
            <w:tcW w:type="dxa" w:w="2053"/>
            <w:shd w:val="clear" w:color="auto" w:fill="F1F6F9"/>
          </w:tcPr>
          <w:p>
            <w:r/>
            <w:r>
              <w:rPr>
                <w:sz w:val="17"/>
              </w:rPr>
              <w:t>Commercial PPO</w:t>
            </w:r>
          </w:p>
        </w:tc>
        <w:tc>
          <w:tcPr>
            <w:tcW w:type="dxa" w:w="1412"/>
            <w:shd w:val="clear" w:color="auto" w:fill="F1F6F9"/>
          </w:tcPr>
          <w:p>
            <w:r/>
            <w:r>
              <w:rPr>
                <w:sz w:val="17"/>
              </w:rPr>
              <w:t>180 days from the date of the denial notice</w:t>
            </w:r>
          </w:p>
        </w:tc>
        <w:tc>
          <w:tcPr>
            <w:tcW w:type="dxa" w:w="1839"/>
            <w:shd w:val="clear" w:color="auto" w:fill="F1F6F9"/>
          </w:tcPr>
          <w:p>
            <w:r/>
            <w:r>
              <w:rPr>
                <w:sz w:val="17"/>
              </w:rPr>
              <w:t>Provider appeals portal or certified mail</w:t>
            </w:r>
          </w:p>
        </w:tc>
        <w:tc>
          <w:tcPr>
            <w:tcW w:type="dxa" w:w="1839"/>
            <w:shd w:val="clear" w:color="auto" w:fill="F1F6F9"/>
          </w:tcPr>
          <w:p>
            <w:r/>
            <w:r>
              <w:rPr>
                <w:sz w:val="17"/>
              </w:rPr>
              <w:t>60 days from the first-level decision</w:t>
            </w:r>
          </w:p>
        </w:tc>
        <w:tc>
          <w:tcPr>
            <w:tcW w:type="dxa" w:w="1305"/>
            <w:shd w:val="clear" w:color="auto" w:fill="F1F6F9"/>
          </w:tcPr>
          <w:p>
            <w:r/>
            <w:r>
              <w:rPr>
                <w:sz w:val="17"/>
              </w:rPr>
              <w:t>365 days from the date of service</w:t>
            </w:r>
          </w:p>
        </w:tc>
      </w:tr>
      <w:tr>
        <w:tc>
          <w:tcPr>
            <w:tcW w:type="dxa" w:w="1199"/>
          </w:tcPr>
          <w:p>
            <w:r/>
            <w:r>
              <w:rPr>
                <w:sz w:val="17"/>
              </w:rPr>
              <w:t>Cascade Mutual</w:t>
            </w:r>
          </w:p>
        </w:tc>
        <w:tc>
          <w:tcPr>
            <w:tcW w:type="dxa" w:w="2053"/>
          </w:tcPr>
          <w:p>
            <w:r/>
            <w:r>
              <w:rPr>
                <w:sz w:val="17"/>
              </w:rPr>
              <w:t>Commercial HMO</w:t>
            </w:r>
          </w:p>
        </w:tc>
        <w:tc>
          <w:tcPr>
            <w:tcW w:type="dxa" w:w="1412"/>
          </w:tcPr>
          <w:p>
            <w:r/>
            <w:r>
              <w:rPr>
                <w:sz w:val="17"/>
              </w:rPr>
              <w:t>60 days from the date of the denial notice</w:t>
            </w:r>
          </w:p>
        </w:tc>
        <w:tc>
          <w:tcPr>
            <w:tcW w:type="dxa" w:w="1839"/>
          </w:tcPr>
          <w:p>
            <w:r/>
            <w:r>
              <w:rPr>
                <w:sz w:val="17"/>
              </w:rPr>
              <w:t>Written appeal to the provider relations department</w:t>
            </w:r>
          </w:p>
        </w:tc>
        <w:tc>
          <w:tcPr>
            <w:tcW w:type="dxa" w:w="1839"/>
          </w:tcPr>
          <w:p>
            <w:r/>
            <w:r>
              <w:rPr>
                <w:sz w:val="17"/>
              </w:rPr>
              <w:t>30 days from the first-level decision</w:t>
            </w:r>
          </w:p>
        </w:tc>
        <w:tc>
          <w:tcPr>
            <w:tcW w:type="dxa" w:w="1305"/>
          </w:tcPr>
          <w:p>
            <w:r/>
            <w:r>
              <w:rPr>
                <w:sz w:val="17"/>
              </w:rPr>
              <w:t>90 days from the date of service</w:t>
            </w:r>
          </w:p>
        </w:tc>
      </w:tr>
      <w:tr>
        <w:tc>
          <w:tcPr>
            <w:tcW w:type="dxa" w:w="1199"/>
            <w:shd w:val="clear" w:color="auto" w:fill="F1F6F9"/>
          </w:tcPr>
          <w:p>
            <w:r/>
            <w:r>
              <w:rPr>
                <w:sz w:val="17"/>
              </w:rPr>
              <w:t>Self-pay</w:t>
            </w:r>
          </w:p>
        </w:tc>
        <w:tc>
          <w:tcPr>
            <w:tcW w:type="dxa" w:w="2053"/>
            <w:shd w:val="clear" w:color="auto" w:fill="F1F6F9"/>
          </w:tcPr>
          <w:p>
            <w:r/>
            <w:r>
              <w:rPr>
                <w:sz w:val="17"/>
              </w:rPr>
              <w:t>Patient responsibility</w:t>
            </w:r>
          </w:p>
        </w:tc>
        <w:tc>
          <w:tcPr>
            <w:tcW w:type="dxa" w:w="1412"/>
            <w:shd w:val="clear" w:color="auto" w:fill="F1F6F9"/>
          </w:tcPr>
          <w:p>
            <w:r/>
            <w:r>
              <w:rPr>
                <w:sz w:val="17"/>
              </w:rPr>
              <w:t>Not applicable</w:t>
            </w:r>
          </w:p>
        </w:tc>
        <w:tc>
          <w:tcPr>
            <w:tcW w:type="dxa" w:w="1839"/>
            <w:shd w:val="clear" w:color="auto" w:fill="F1F6F9"/>
          </w:tcPr>
          <w:p>
            <w:r/>
            <w:r>
              <w:rPr>
                <w:sz w:val="17"/>
              </w:rPr>
              <w:t>Patient Financial Services handles billing disputes</w:t>
            </w:r>
          </w:p>
        </w:tc>
        <w:tc>
          <w:tcPr>
            <w:tcW w:type="dxa" w:w="1839"/>
            <w:shd w:val="clear" w:color="auto" w:fill="F1F6F9"/>
          </w:tcPr>
          <w:p>
            <w:r/>
            <w:r>
              <w:rPr>
                <w:sz w:val="17"/>
              </w:rPr>
              <w:t>Not applicable</w:t>
            </w:r>
          </w:p>
        </w:tc>
        <w:tc>
          <w:tcPr>
            <w:tcW w:type="dxa" w:w="1305"/>
            <w:shd w:val="clear" w:color="auto" w:fill="F1F6F9"/>
          </w:tcPr>
          <w:p>
            <w:r/>
            <w:r>
              <w:rPr>
                <w:sz w:val="17"/>
              </w:rPr>
              <w:t>Not applicable</w:t>
            </w:r>
          </w:p>
        </w:tc>
      </w:tr>
    </w:tbl>
    <w:p/>
    <w:p>
      <w:pPr>
        <w:pStyle w:val="Heading1"/>
      </w:pPr>
      <w:r>
        <w:t>4. Working a denial</w:t>
      </w:r>
    </w:p>
    <w:p>
      <w:pPr>
        <w:ind w:left="432" w:hanging="360"/>
      </w:pPr>
      <w:r>
        <w:t>1. Denials Management reads each denial notice within 3 business days and assigns a reason code.</w:t>
      </w:r>
    </w:p>
    <w:p>
      <w:pPr>
        <w:ind w:left="432" w:hanging="360"/>
      </w:pPr>
      <w:r>
        <w:t>2. Denials that can be corrected (a coding error, incomplete documentation, a duplicate) are corrected and resubmitted as corrected claims where the payer allows, which does not use up the appeal window.</w:t>
      </w:r>
    </w:p>
    <w:p>
      <w:pPr>
        <w:ind w:left="432" w:hanging="360"/>
      </w:pPr>
      <w:r>
        <w:t>3. For any denial that needs an appeal, the appeal is filed no later than 10 days before the window closes, with a letter of medical necessity where relevant.</w:t>
      </w:r>
    </w:p>
    <w:p>
      <w:pPr>
        <w:ind w:left="432" w:hanging="360"/>
      </w:pPr>
      <w:r>
        <w:t>4. The claim's appeal status is updated when the appeal is filed and again when the payer decides.</w:t>
      </w:r>
    </w:p>
    <w:p>
      <w:pPr>
        <w:pStyle w:val="Heading1"/>
      </w:pPr>
      <w:r>
        <w:t>5. Contract notes for the next renewal</w:t>
      </w:r>
    </w:p>
    <w:p>
      <w:pPr>
        <w:pStyle w:val="ListBullet"/>
      </w:pPr>
      <w:r>
        <w:t>Cascade Mutual has the shortest window and the shortest timely filing limit in the network. Managed Care Contracting will ask for a first-level window of at least 90 days at the renewal that starts 2027-01-01.</w:t>
      </w:r>
    </w:p>
    <w:p>
      <w:pPr>
        <w:pStyle w:val="ListBullet"/>
      </w:pPr>
      <w:r>
        <w:t>Northstar Advantage requires that every appeal of a "Medical necessity" denial include a peer-to-peer request. The payer's clock does not start until the request is logged in its portal.</w:t>
      </w:r>
    </w:p>
    <w:p>
      <w:pPr>
        <w:pStyle w:val="ListBullet"/>
      </w:pPr>
      <w:r>
        <w:t>Evergreen Health Plan accepts corrected claims for 365 days; these are not appeals.</w:t>
      </w:r>
    </w:p>
    <w:p>
      <w:pPr>
        <w:pStyle w:val="Heading1"/>
      </w:pPr>
      <w:r>
        <w:t>6. Escalation</w:t>
      </w:r>
    </w:p>
    <w:p>
      <w:r>
        <w:t>Denials Management reports every week the denied claims that have not been appealed and whose window closes in the next 30 days. The Revenue Cycle director approves any write-off over $5,000 before the window closes.</w:t>
      </w:r>
    </w:p>
    <w:p>
      <w:r>
        <w:t>Riverside Health Network is a fictional organization. This document is synthetic and is not legal or billing advice.</w:t>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560"/>
        <w:sz w:val="16"/>
      </w:rPr>
      <w:t>Synthetic document for demonstration only. Riverside Health Network is fictional.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4A5560"/>
        <w:sz w:val="16"/>
      </w:rPr>
      <w:t>RIVERSIDE HEALTH NETWORK    RHN-CON-009  |  Version 2026.3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C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7F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3C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Payer Contract Summary: Denials and Appeals</dc:title>
  <dc:subject>RHN-CON-009 version 2026.3</dc:subject>
  <dc:creator>Riverside Health Network (synthetic)</dc:creator>
  <cp:keywords/>
  <dc:description>Synthetic document for demonstration only.</dc:description>
  <cp:lastModifiedBy>build.py</cp:lastModifiedBy>
  <cp:revision>1</cp:revision>
  <dcterms:created xsi:type="dcterms:W3CDTF">2026-09-30T12:00:00Z</dcterms:created>
  <dcterms:modified xsi:type="dcterms:W3CDTF">2026-09-30T12:00:00Z</dcterms:modified>
  <cp:category/>
</cp:coreProperties>
</file>