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Supplier Terms Summary, Fiscal 2026</w:t>
      </w:r>
    </w:p>
    <w:p>
      <w:r>
        <w:rPr>
          <w:b w:val="0"/>
          <w:i w:val="0"/>
          <w:color w:val="5B6577"/>
          <w:sz w:val="23"/>
        </w:rPr>
        <w:t>Commercial terms, rebates and returns-to-vendor rules for Lumen's ten merchandise suppliers</w:t>
      </w:r>
    </w:p>
    <w:tbl>
      <w:tblPr>
        <w:tblStyle w:val="TableGrid"/>
        <w:tblW w:type="auto" w:w="0"/>
        <w:tblLook w:firstColumn="1" w:firstRow="1" w:lastColumn="0" w:lastRow="0" w:noHBand="0" w:noVBand="1" w:val="04A0"/>
      </w:tblPr>
      <w:tblGrid>
        <w:gridCol w:w="4680"/>
        <w:gridCol w:w="4680"/>
      </w:tblGrid>
      <w:tr>
        <w:tc>
          <w:tcPr>
            <w:tcW w:type="dxa" w:w="1728"/>
            <w:shd w:val="clear" w:color="auto" w:fill="F2F4F8"/>
          </w:tcPr>
          <w:p>
            <w:r/>
            <w:r>
              <w:rPr>
                <w:b/>
                <w:i w:val="0"/>
                <w:sz w:val="19"/>
              </w:rPr>
              <w:t>Document</w:t>
            </w:r>
          </w:p>
        </w:tc>
        <w:tc>
          <w:tcPr>
            <w:tcW w:type="dxa" w:w="7632"/>
          </w:tcPr>
          <w:p>
            <w:r/>
            <w:r>
              <w:rPr>
                <w:b w:val="0"/>
                <w:i w:val="0"/>
                <w:sz w:val="19"/>
              </w:rPr>
              <w:t>PRC-SUP-2026</w:t>
            </w:r>
          </w:p>
        </w:tc>
      </w:tr>
      <w:tr>
        <w:tc>
          <w:tcPr>
            <w:tcW w:type="dxa" w:w="1728"/>
            <w:shd w:val="clear" w:color="auto" w:fill="F2F4F8"/>
          </w:tcPr>
          <w:p>
            <w:r/>
            <w:r>
              <w:rPr>
                <w:b/>
                <w:i w:val="0"/>
                <w:sz w:val="19"/>
              </w:rPr>
              <w:t>Version</w:t>
            </w:r>
          </w:p>
        </w:tc>
        <w:tc>
          <w:tcPr>
            <w:tcW w:type="dxa" w:w="7632"/>
          </w:tcPr>
          <w:p>
            <w:r/>
            <w:r>
              <w:rPr>
                <w:b w:val="0"/>
                <w:i w:val="0"/>
                <w:sz w:val="19"/>
              </w:rPr>
              <w:t>3.0</w:t>
            </w:r>
          </w:p>
        </w:tc>
      </w:tr>
      <w:tr>
        <w:tc>
          <w:tcPr>
            <w:tcW w:type="dxa" w:w="1728"/>
            <w:shd w:val="clear" w:color="auto" w:fill="F2F4F8"/>
          </w:tcPr>
          <w:p>
            <w:r/>
            <w:r>
              <w:rPr>
                <w:b/>
                <w:i w:val="0"/>
                <w:sz w:val="19"/>
              </w:rPr>
              <w:t>Effective</w:t>
            </w:r>
          </w:p>
        </w:tc>
        <w:tc>
          <w:tcPr>
            <w:tcW w:type="dxa" w:w="7632"/>
          </w:tcPr>
          <w:p>
            <w:r/>
            <w:r>
              <w:rPr>
                <w:b w:val="0"/>
                <w:i w:val="0"/>
                <w:sz w:val="19"/>
              </w:rPr>
              <w:t>January 1, 2026</w:t>
            </w:r>
          </w:p>
        </w:tc>
      </w:tr>
      <w:tr>
        <w:tc>
          <w:tcPr>
            <w:tcW w:type="dxa" w:w="1728"/>
            <w:shd w:val="clear" w:color="auto" w:fill="F2F4F8"/>
          </w:tcPr>
          <w:p>
            <w:r/>
            <w:r>
              <w:rPr>
                <w:b/>
                <w:i w:val="0"/>
                <w:sz w:val="19"/>
              </w:rPr>
              <w:t>Owner</w:t>
            </w:r>
          </w:p>
        </w:tc>
        <w:tc>
          <w:tcPr>
            <w:tcW w:type="dxa" w:w="7632"/>
          </w:tcPr>
          <w:p>
            <w:r/>
            <w:r>
              <w:rPr>
                <w:b w:val="0"/>
                <w:i w:val="0"/>
                <w:sz w:val="19"/>
              </w:rPr>
              <w:t>Procurement Operations</w:t>
            </w:r>
          </w:p>
        </w:tc>
      </w:tr>
      <w:tr>
        <w:tc>
          <w:tcPr>
            <w:tcW w:type="dxa" w:w="1728"/>
            <w:shd w:val="clear" w:color="auto" w:fill="F2F4F8"/>
          </w:tcPr>
          <w:p>
            <w:r/>
            <w:r>
              <w:rPr>
                <w:b/>
                <w:i w:val="0"/>
                <w:sz w:val="19"/>
              </w:rPr>
              <w:t>Audience</w:t>
            </w:r>
          </w:p>
        </w:tc>
        <w:tc>
          <w:tcPr>
            <w:tcW w:type="dxa" w:w="7632"/>
          </w:tcPr>
          <w:p>
            <w:r/>
            <w:r>
              <w:rPr>
                <w:b w:val="0"/>
                <w:i w:val="0"/>
                <w:sz w:val="19"/>
              </w:rPr>
              <w:t>Merchants, planners, Accounts Payable and store operations leads</w:t>
            </w:r>
          </w:p>
        </w:tc>
      </w:tr>
    </w:tbl>
    <w:p/>
    <w:p>
      <w:pPr>
        <w:pStyle w:val="Heading1"/>
      </w:pPr>
      <w:r>
        <w:t>1. Purpose and scope</w:t>
      </w:r>
    </w:p>
    <w:p>
      <w:r>
        <w:rPr>
          <w:b w:val="0"/>
          <w:i w:val="0"/>
        </w:rPr>
        <w:t>This summary sets out the commercial terms that apply to the ten suppliers on Lumen Retail Group's master supplier agreements for fiscal 2026 (January 1 to December 31, 2026). It is a working summary for merchants, planners and Accounts Payable. The signed agreements are the legal source; where this summary and an agreement differ, the agreement wins. Fiscal years follow the calendar year, so the third quarter runs from July 1 to September 30.</w:t>
      </w:r>
    </w:p>
    <w:p>
      <w:r>
        <w:rPr>
          <w:b w:val="0"/>
          <w:i w:val="0"/>
        </w:rPr>
        <w:t>The suppliers cover seven merchandise categories: Electronics, Furniture, Home Decor, Kitchen &amp; Dining, Bedding &amp; Bath, Apparel and Outdoor &amp; Garden. Lumen's private label, Lumen Living, is manufactured by the same suppliers under the same terms.</w:t>
      </w:r>
    </w:p>
    <w:p>
      <w:pPr>
        <w:pStyle w:val="Heading1"/>
      </w:pPr>
      <w:r>
        <w:t>2. Ordering and delivery</w:t>
      </w:r>
    </w:p>
    <w:p>
      <w:pPr>
        <w:pStyle w:val="ListBullet"/>
      </w:pPr>
      <w:r>
        <w:rPr>
          <w:b/>
          <w:i w:val="0"/>
        </w:rPr>
        <w:t>Purchase orders</w:t>
      </w:r>
      <w:r>
        <w:rPr>
          <w:b w:val="0"/>
          <w:i w:val="0"/>
        </w:rPr>
        <w:t xml:space="preserve"> are placed by the category merchant and confirmed by the supplier within 2 business days.</w:t>
      </w:r>
    </w:p>
    <w:p>
      <w:pPr>
        <w:pStyle w:val="ListBullet"/>
      </w:pPr>
      <w:r>
        <w:rPr>
          <w:b/>
          <w:i w:val="0"/>
        </w:rPr>
        <w:t>Lead times.</w:t>
      </w:r>
      <w:r>
        <w:rPr>
          <w:b w:val="0"/>
          <w:i w:val="0"/>
        </w:rPr>
        <w:t xml:space="preserve"> Electronics and Apparel 21 days; Home Decor, Kitchen &amp; Dining and Bedding &amp; Bath 28 days; Furniture and Outdoor &amp; Garden 45 days from confirmation to dock.</w:t>
      </w:r>
    </w:p>
    <w:p>
      <w:pPr>
        <w:pStyle w:val="ListBullet"/>
      </w:pPr>
      <w:r>
        <w:rPr>
          <w:b/>
          <w:i w:val="0"/>
        </w:rPr>
        <w:t>On-time-in-full target.</w:t>
      </w:r>
      <w:r>
        <w:rPr>
          <w:b w:val="0"/>
          <w:i w:val="0"/>
        </w:rPr>
        <w:t xml:space="preserve"> Suppliers must deliver at least 95 percent of order lines on time and in full. A delivery that is late by more than 2 days is charged back at 1 percent of the order value per day late, up to 5 percent.</w:t>
      </w:r>
    </w:p>
    <w:p>
      <w:pPr>
        <w:pStyle w:val="ListBullet"/>
      </w:pPr>
      <w:r>
        <w:rPr>
          <w:b/>
          <w:i w:val="0"/>
        </w:rPr>
        <w:t>Receiving.</w:t>
      </w:r>
      <w:r>
        <w:rPr>
          <w:b w:val="0"/>
          <w:i w:val="0"/>
        </w:rPr>
        <w:t xml:space="preserve"> Stores and the distribution center accept exact counts only. Short shipments are credited and damaged cartons are recorded on the delivery note.</w:t>
      </w:r>
    </w:p>
    <w:p>
      <w:pPr>
        <w:pStyle w:val="Heading1"/>
      </w:pPr>
      <w:r>
        <w:t>3. Payment terms and volume rebates</w:t>
      </w:r>
    </w:p>
    <w:p>
      <w:r>
        <w:rPr>
          <w:b w:val="0"/>
          <w:i w:val="0"/>
        </w:rPr>
        <w:t>Payment terms run from the invoice date. Early-payment discounts are taken by Accounts Payable automatically when the invoice is paid inside the discount window. Volume rebates are earned on annual purchases at cost for the fiscal year and paid within 60 days of year end.</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B2A49"/>
          </w:tcPr>
          <w:p>
            <w:r/>
            <w:r>
              <w:rPr>
                <w:b/>
                <w:i w:val="0"/>
                <w:color w:val="FFFFFF"/>
                <w:sz w:val="19"/>
              </w:rPr>
              <w:t>Supplier</w:t>
            </w:r>
          </w:p>
        </w:tc>
        <w:tc>
          <w:tcPr>
            <w:tcW w:type="dxa" w:w="1560"/>
            <w:shd w:val="clear" w:color="auto" w:fill="1B2A49"/>
          </w:tcPr>
          <w:p>
            <w:r/>
            <w:r>
              <w:rPr>
                <w:b/>
                <w:i w:val="0"/>
                <w:color w:val="FFFFFF"/>
                <w:sz w:val="19"/>
              </w:rPr>
              <w:t>Categories supplied</w:t>
            </w:r>
          </w:p>
        </w:tc>
        <w:tc>
          <w:tcPr>
            <w:tcW w:type="dxa" w:w="1560"/>
            <w:shd w:val="clear" w:color="auto" w:fill="1B2A49"/>
          </w:tcPr>
          <w:p>
            <w:r/>
            <w:r>
              <w:rPr>
                <w:b/>
                <w:i w:val="0"/>
                <w:color w:val="FFFFFF"/>
                <w:sz w:val="19"/>
              </w:rPr>
              <w:t>Payment terms</w:t>
            </w:r>
          </w:p>
        </w:tc>
        <w:tc>
          <w:tcPr>
            <w:tcW w:type="dxa" w:w="1560"/>
            <w:shd w:val="clear" w:color="auto" w:fill="1B2A49"/>
          </w:tcPr>
          <w:p>
            <w:r/>
            <w:r>
              <w:rPr>
                <w:b/>
                <w:i w:val="0"/>
                <w:color w:val="FFFFFF"/>
                <w:sz w:val="19"/>
              </w:rPr>
              <w:t>Early-payment discount</w:t>
            </w:r>
          </w:p>
        </w:tc>
        <w:tc>
          <w:tcPr>
            <w:tcW w:type="dxa" w:w="1560"/>
            <w:shd w:val="clear" w:color="auto" w:fill="1B2A49"/>
          </w:tcPr>
          <w:p>
            <w:r/>
            <w:r>
              <w:rPr>
                <w:b/>
                <w:i w:val="0"/>
                <w:color w:val="FFFFFF"/>
                <w:sz w:val="19"/>
              </w:rPr>
              <w:t>Volume rebate</w:t>
            </w:r>
          </w:p>
        </w:tc>
        <w:tc>
          <w:tcPr>
            <w:tcW w:type="dxa" w:w="1560"/>
            <w:shd w:val="clear" w:color="auto" w:fill="1B2A49"/>
          </w:tcPr>
          <w:p>
            <w:r/>
            <w:r>
              <w:rPr>
                <w:b/>
                <w:i w:val="0"/>
                <w:color w:val="FFFFFF"/>
                <w:sz w:val="19"/>
              </w:rPr>
              <w:t>Defect allowance</w:t>
            </w:r>
          </w:p>
        </w:tc>
      </w:tr>
      <w:tr>
        <w:tc>
          <w:tcPr>
            <w:tcW w:type="dxa" w:w="1560"/>
          </w:tcPr>
          <w:p>
            <w:r/>
            <w:r>
              <w:rPr>
                <w:b w:val="0"/>
                <w:i w:val="0"/>
                <w:sz w:val="19"/>
              </w:rPr>
              <w:t>Auralis Audio Works</w:t>
            </w:r>
          </w:p>
        </w:tc>
        <w:tc>
          <w:tcPr>
            <w:tcW w:type="dxa" w:w="1560"/>
          </w:tcPr>
          <w:p>
            <w:r/>
            <w:r>
              <w:rPr>
                <w:b w:val="0"/>
                <w:i w:val="0"/>
                <w:sz w:val="19"/>
              </w:rPr>
              <w:t>Electronics (audio)</w:t>
            </w:r>
          </w:p>
        </w:tc>
        <w:tc>
          <w:tcPr>
            <w:tcW w:type="dxa" w:w="1560"/>
          </w:tcPr>
          <w:p>
            <w:r/>
            <w:r>
              <w:rPr>
                <w:b w:val="0"/>
                <w:i w:val="0"/>
                <w:sz w:val="19"/>
              </w:rPr>
              <w:t>Net 45</w:t>
            </w:r>
          </w:p>
        </w:tc>
        <w:tc>
          <w:tcPr>
            <w:tcW w:type="dxa" w:w="1560"/>
          </w:tcPr>
          <w:p>
            <w:r/>
            <w:r>
              <w:rPr>
                <w:b w:val="0"/>
                <w:i w:val="0"/>
                <w:sz w:val="19"/>
              </w:rPr>
              <w:t>1.0% if paid within 15 days</w:t>
            </w:r>
          </w:p>
        </w:tc>
        <w:tc>
          <w:tcPr>
            <w:tcW w:type="dxa" w:w="1560"/>
          </w:tcPr>
          <w:p>
            <w:r/>
            <w:r>
              <w:rPr>
                <w:b w:val="0"/>
                <w:i w:val="0"/>
                <w:sz w:val="19"/>
              </w:rPr>
              <w:t>2.0% above $1.5 million</w:t>
            </w:r>
          </w:p>
        </w:tc>
        <w:tc>
          <w:tcPr>
            <w:tcW w:type="dxa" w:w="1560"/>
          </w:tcPr>
          <w:p>
            <w:r/>
            <w:r>
              <w:rPr>
                <w:b w:val="0"/>
                <w:i w:val="0"/>
                <w:sz w:val="19"/>
              </w:rPr>
              <w:t>2.0%</w:t>
            </w:r>
          </w:p>
        </w:tc>
      </w:tr>
      <w:tr>
        <w:tc>
          <w:tcPr>
            <w:tcW w:type="dxa" w:w="1560"/>
            <w:shd w:val="clear" w:color="auto" w:fill="F2F4F8"/>
          </w:tcPr>
          <w:p>
            <w:r/>
            <w:r>
              <w:rPr>
                <w:b w:val="0"/>
                <w:i w:val="0"/>
                <w:sz w:val="19"/>
              </w:rPr>
              <w:t>Voltara Devices</w:t>
            </w:r>
          </w:p>
        </w:tc>
        <w:tc>
          <w:tcPr>
            <w:tcW w:type="dxa" w:w="1560"/>
            <w:shd w:val="clear" w:color="auto" w:fill="F2F4F8"/>
          </w:tcPr>
          <w:p>
            <w:r/>
            <w:r>
              <w:rPr>
                <w:b w:val="0"/>
                <w:i w:val="0"/>
                <w:sz w:val="19"/>
              </w:rPr>
              <w:t>Electronics (smart home, displays)</w:t>
            </w:r>
          </w:p>
        </w:tc>
        <w:tc>
          <w:tcPr>
            <w:tcW w:type="dxa" w:w="1560"/>
            <w:shd w:val="clear" w:color="auto" w:fill="F2F4F8"/>
          </w:tcPr>
          <w:p>
            <w:r/>
            <w:r>
              <w:rPr>
                <w:b w:val="0"/>
                <w:i w:val="0"/>
                <w:sz w:val="19"/>
              </w:rPr>
              <w:t>Net 60</w:t>
            </w:r>
          </w:p>
        </w:tc>
        <w:tc>
          <w:tcPr>
            <w:tcW w:type="dxa" w:w="1560"/>
            <w:shd w:val="clear" w:color="auto" w:fill="F2F4F8"/>
          </w:tcPr>
          <w:p>
            <w:r/>
            <w:r>
              <w:rPr>
                <w:b w:val="0"/>
                <w:i w:val="0"/>
                <w:sz w:val="19"/>
              </w:rPr>
              <w:t>1.5% if paid within 10 days</w:t>
            </w:r>
          </w:p>
        </w:tc>
        <w:tc>
          <w:tcPr>
            <w:tcW w:type="dxa" w:w="1560"/>
            <w:shd w:val="clear" w:color="auto" w:fill="F2F4F8"/>
          </w:tcPr>
          <w:p>
            <w:r/>
            <w:r>
              <w:rPr>
                <w:b w:val="0"/>
                <w:i w:val="0"/>
                <w:sz w:val="19"/>
              </w:rPr>
              <w:t>3.0% above $2.5 million</w:t>
            </w:r>
          </w:p>
        </w:tc>
        <w:tc>
          <w:tcPr>
            <w:tcW w:type="dxa" w:w="1560"/>
            <w:shd w:val="clear" w:color="auto" w:fill="F2F4F8"/>
          </w:tcPr>
          <w:p>
            <w:r/>
            <w:r>
              <w:rPr>
                <w:b w:val="0"/>
                <w:i w:val="0"/>
                <w:sz w:val="19"/>
              </w:rPr>
              <w:t>2.5%</w:t>
            </w:r>
          </w:p>
        </w:tc>
      </w:tr>
      <w:tr>
        <w:tc>
          <w:tcPr>
            <w:tcW w:type="dxa" w:w="1560"/>
          </w:tcPr>
          <w:p>
            <w:r/>
            <w:r>
              <w:rPr>
                <w:b w:val="0"/>
                <w:i w:val="0"/>
                <w:sz w:val="19"/>
              </w:rPr>
              <w:t>Hearthwood Furniture Co.</w:t>
            </w:r>
          </w:p>
        </w:tc>
        <w:tc>
          <w:tcPr>
            <w:tcW w:type="dxa" w:w="1560"/>
          </w:tcPr>
          <w:p>
            <w:r/>
            <w:r>
              <w:rPr>
                <w:b w:val="0"/>
                <w:i w:val="0"/>
                <w:sz w:val="19"/>
              </w:rPr>
              <w:t>Furniture</w:t>
            </w:r>
          </w:p>
        </w:tc>
        <w:tc>
          <w:tcPr>
            <w:tcW w:type="dxa" w:w="1560"/>
          </w:tcPr>
          <w:p>
            <w:r/>
            <w:r>
              <w:rPr>
                <w:b w:val="0"/>
                <w:i w:val="0"/>
                <w:sz w:val="19"/>
              </w:rPr>
              <w:t>Net 60</w:t>
            </w:r>
          </w:p>
        </w:tc>
        <w:tc>
          <w:tcPr>
            <w:tcW w:type="dxa" w:w="1560"/>
          </w:tcPr>
          <w:p>
            <w:r/>
            <w:r>
              <w:rPr>
                <w:b w:val="0"/>
                <w:i w:val="0"/>
                <w:sz w:val="19"/>
              </w:rPr>
              <w:t>None</w:t>
            </w:r>
          </w:p>
        </w:tc>
        <w:tc>
          <w:tcPr>
            <w:tcW w:type="dxa" w:w="1560"/>
          </w:tcPr>
          <w:p>
            <w:r/>
            <w:r>
              <w:rPr>
                <w:b w:val="0"/>
                <w:i w:val="0"/>
                <w:sz w:val="19"/>
              </w:rPr>
              <w:t>2.5% above $1.8 million</w:t>
            </w:r>
          </w:p>
        </w:tc>
        <w:tc>
          <w:tcPr>
            <w:tcW w:type="dxa" w:w="1560"/>
          </w:tcPr>
          <w:p>
            <w:r/>
            <w:r>
              <w:rPr>
                <w:b w:val="0"/>
                <w:i w:val="0"/>
                <w:sz w:val="19"/>
              </w:rPr>
              <w:t>1.5%</w:t>
            </w:r>
          </w:p>
        </w:tc>
      </w:tr>
      <w:tr>
        <w:tc>
          <w:tcPr>
            <w:tcW w:type="dxa" w:w="1560"/>
            <w:shd w:val="clear" w:color="auto" w:fill="F2F4F8"/>
          </w:tcPr>
          <w:p>
            <w:r/>
            <w:r>
              <w:rPr>
                <w:b w:val="0"/>
                <w:i w:val="0"/>
                <w:sz w:val="19"/>
              </w:rPr>
              <w:t>Cedarline Home Furnishings</w:t>
            </w:r>
          </w:p>
        </w:tc>
        <w:tc>
          <w:tcPr>
            <w:tcW w:type="dxa" w:w="1560"/>
            <w:shd w:val="clear" w:color="auto" w:fill="F2F4F8"/>
          </w:tcPr>
          <w:p>
            <w:r/>
            <w:r>
              <w:rPr>
                <w:b w:val="0"/>
                <w:i w:val="0"/>
                <w:sz w:val="19"/>
              </w:rPr>
              <w:t>Furniture</w:t>
            </w:r>
          </w:p>
        </w:tc>
        <w:tc>
          <w:tcPr>
            <w:tcW w:type="dxa" w:w="1560"/>
            <w:shd w:val="clear" w:color="auto" w:fill="F2F4F8"/>
          </w:tcPr>
          <w:p>
            <w:r/>
            <w:r>
              <w:rPr>
                <w:b w:val="0"/>
                <w:i w:val="0"/>
                <w:sz w:val="19"/>
              </w:rPr>
              <w:t>Net 45</w:t>
            </w:r>
          </w:p>
        </w:tc>
        <w:tc>
          <w:tcPr>
            <w:tcW w:type="dxa" w:w="1560"/>
            <w:shd w:val="clear" w:color="auto" w:fill="F2F4F8"/>
          </w:tcPr>
          <w:p>
            <w:r/>
            <w:r>
              <w:rPr>
                <w:b w:val="0"/>
                <w:i w:val="0"/>
                <w:sz w:val="19"/>
              </w:rPr>
              <w:t>2.0% if paid within 10 days</w:t>
            </w:r>
          </w:p>
        </w:tc>
        <w:tc>
          <w:tcPr>
            <w:tcW w:type="dxa" w:w="1560"/>
            <w:shd w:val="clear" w:color="auto" w:fill="F2F4F8"/>
          </w:tcPr>
          <w:p>
            <w:r/>
            <w:r>
              <w:rPr>
                <w:b w:val="0"/>
                <w:i w:val="0"/>
                <w:sz w:val="19"/>
              </w:rPr>
              <w:t>2.0% above $1.2 million</w:t>
            </w:r>
          </w:p>
        </w:tc>
        <w:tc>
          <w:tcPr>
            <w:tcW w:type="dxa" w:w="1560"/>
            <w:shd w:val="clear" w:color="auto" w:fill="F2F4F8"/>
          </w:tcPr>
          <w:p>
            <w:r/>
            <w:r>
              <w:rPr>
                <w:b w:val="0"/>
                <w:i w:val="0"/>
                <w:sz w:val="19"/>
              </w:rPr>
              <w:t>1.5%</w:t>
            </w:r>
          </w:p>
        </w:tc>
      </w:tr>
      <w:tr>
        <w:tc>
          <w:tcPr>
            <w:tcW w:type="dxa" w:w="1560"/>
          </w:tcPr>
          <w:p>
            <w:r/>
            <w:r>
              <w:rPr>
                <w:b w:val="0"/>
                <w:i w:val="0"/>
                <w:sz w:val="19"/>
              </w:rPr>
              <w:t>Brightmoor Decor</w:t>
            </w:r>
          </w:p>
        </w:tc>
        <w:tc>
          <w:tcPr>
            <w:tcW w:type="dxa" w:w="1560"/>
          </w:tcPr>
          <w:p>
            <w:r/>
            <w:r>
              <w:rPr>
                <w:b w:val="0"/>
                <w:i w:val="0"/>
                <w:sz w:val="19"/>
              </w:rPr>
              <w:t>Home Decor</w:t>
            </w:r>
          </w:p>
        </w:tc>
        <w:tc>
          <w:tcPr>
            <w:tcW w:type="dxa" w:w="1560"/>
          </w:tcPr>
          <w:p>
            <w:r/>
            <w:r>
              <w:rPr>
                <w:b w:val="0"/>
                <w:i w:val="0"/>
                <w:sz w:val="19"/>
              </w:rPr>
              <w:t>Net 30</w:t>
            </w:r>
          </w:p>
        </w:tc>
        <w:tc>
          <w:tcPr>
            <w:tcW w:type="dxa" w:w="1560"/>
          </w:tcPr>
          <w:p>
            <w:r/>
            <w:r>
              <w:rPr>
                <w:b w:val="0"/>
                <w:i w:val="0"/>
                <w:sz w:val="19"/>
              </w:rPr>
              <w:t>2.0% if paid within 10 days</w:t>
            </w:r>
          </w:p>
        </w:tc>
        <w:tc>
          <w:tcPr>
            <w:tcW w:type="dxa" w:w="1560"/>
          </w:tcPr>
          <w:p>
            <w:r/>
            <w:r>
              <w:rPr>
                <w:b w:val="0"/>
                <w:i w:val="0"/>
                <w:sz w:val="19"/>
              </w:rPr>
              <w:t>3.0% above $0.6 million</w:t>
            </w:r>
          </w:p>
        </w:tc>
        <w:tc>
          <w:tcPr>
            <w:tcW w:type="dxa" w:w="1560"/>
          </w:tcPr>
          <w:p>
            <w:r/>
            <w:r>
              <w:rPr>
                <w:b w:val="0"/>
                <w:i w:val="0"/>
                <w:sz w:val="19"/>
              </w:rPr>
              <w:t>3.0%</w:t>
            </w:r>
          </w:p>
        </w:tc>
      </w:tr>
      <w:tr>
        <w:tc>
          <w:tcPr>
            <w:tcW w:type="dxa" w:w="1560"/>
            <w:shd w:val="clear" w:color="auto" w:fill="F2F4F8"/>
          </w:tcPr>
          <w:p>
            <w:r/>
            <w:r>
              <w:rPr>
                <w:b w:val="0"/>
                <w:i w:val="0"/>
                <w:sz w:val="19"/>
              </w:rPr>
              <w:t>Meridian Home Goods</w:t>
            </w:r>
          </w:p>
        </w:tc>
        <w:tc>
          <w:tcPr>
            <w:tcW w:type="dxa" w:w="1560"/>
            <w:shd w:val="clear" w:color="auto" w:fill="F2F4F8"/>
          </w:tcPr>
          <w:p>
            <w:r/>
            <w:r>
              <w:rPr>
                <w:b w:val="0"/>
                <w:i w:val="0"/>
                <w:sz w:val="19"/>
              </w:rPr>
              <w:t>Home Decor, Kitchen &amp; Dining</w:t>
            </w:r>
          </w:p>
        </w:tc>
        <w:tc>
          <w:tcPr>
            <w:tcW w:type="dxa" w:w="1560"/>
            <w:shd w:val="clear" w:color="auto" w:fill="F2F4F8"/>
          </w:tcPr>
          <w:p>
            <w:r/>
            <w:r>
              <w:rPr>
                <w:b w:val="0"/>
                <w:i w:val="0"/>
                <w:sz w:val="19"/>
              </w:rPr>
              <w:t>Net 45</w:t>
            </w:r>
          </w:p>
        </w:tc>
        <w:tc>
          <w:tcPr>
            <w:tcW w:type="dxa" w:w="1560"/>
            <w:shd w:val="clear" w:color="auto" w:fill="F2F4F8"/>
          </w:tcPr>
          <w:p>
            <w:r/>
            <w:r>
              <w:rPr>
                <w:b w:val="0"/>
                <w:i w:val="0"/>
                <w:sz w:val="19"/>
              </w:rPr>
              <w:t>1.0% if paid within 15 days</w:t>
            </w:r>
          </w:p>
        </w:tc>
        <w:tc>
          <w:tcPr>
            <w:tcW w:type="dxa" w:w="1560"/>
            <w:shd w:val="clear" w:color="auto" w:fill="F2F4F8"/>
          </w:tcPr>
          <w:p>
            <w:r/>
            <w:r>
              <w:rPr>
                <w:b w:val="0"/>
                <w:i w:val="0"/>
                <w:sz w:val="19"/>
              </w:rPr>
              <w:t>2.5% above $1.0 million</w:t>
            </w:r>
          </w:p>
        </w:tc>
        <w:tc>
          <w:tcPr>
            <w:tcW w:type="dxa" w:w="1560"/>
            <w:shd w:val="clear" w:color="auto" w:fill="F2F4F8"/>
          </w:tcPr>
          <w:p>
            <w:r/>
            <w:r>
              <w:rPr>
                <w:b w:val="0"/>
                <w:i w:val="0"/>
                <w:sz w:val="19"/>
              </w:rPr>
              <w:t>2.0%</w:t>
            </w:r>
          </w:p>
        </w:tc>
      </w:tr>
      <w:tr>
        <w:tc>
          <w:tcPr>
            <w:tcW w:type="dxa" w:w="1560"/>
          </w:tcPr>
          <w:p>
            <w:r/>
            <w:r>
              <w:rPr>
                <w:b w:val="0"/>
                <w:i w:val="0"/>
                <w:sz w:val="19"/>
              </w:rPr>
              <w:t>Copperkettle Kitchenware</w:t>
            </w:r>
          </w:p>
        </w:tc>
        <w:tc>
          <w:tcPr>
            <w:tcW w:type="dxa" w:w="1560"/>
          </w:tcPr>
          <w:p>
            <w:r/>
            <w:r>
              <w:rPr>
                <w:b w:val="0"/>
                <w:i w:val="0"/>
                <w:sz w:val="19"/>
              </w:rPr>
              <w:t>Kitchen &amp; Dining</w:t>
            </w:r>
          </w:p>
        </w:tc>
        <w:tc>
          <w:tcPr>
            <w:tcW w:type="dxa" w:w="1560"/>
          </w:tcPr>
          <w:p>
            <w:r/>
            <w:r>
              <w:rPr>
                <w:b w:val="0"/>
                <w:i w:val="0"/>
                <w:sz w:val="19"/>
              </w:rPr>
              <w:t>Net 45</w:t>
            </w:r>
          </w:p>
        </w:tc>
        <w:tc>
          <w:tcPr>
            <w:tcW w:type="dxa" w:w="1560"/>
          </w:tcPr>
          <w:p>
            <w:r/>
            <w:r>
              <w:rPr>
                <w:b w:val="0"/>
                <w:i w:val="0"/>
                <w:sz w:val="19"/>
              </w:rPr>
              <w:t>1.5% if paid within 10 days</w:t>
            </w:r>
          </w:p>
        </w:tc>
        <w:tc>
          <w:tcPr>
            <w:tcW w:type="dxa" w:w="1560"/>
          </w:tcPr>
          <w:p>
            <w:r/>
            <w:r>
              <w:rPr>
                <w:b w:val="0"/>
                <w:i w:val="0"/>
                <w:sz w:val="19"/>
              </w:rPr>
              <w:t>3.0% above $1.4 million</w:t>
            </w:r>
          </w:p>
        </w:tc>
        <w:tc>
          <w:tcPr>
            <w:tcW w:type="dxa" w:w="1560"/>
          </w:tcPr>
          <w:p>
            <w:r/>
            <w:r>
              <w:rPr>
                <w:b w:val="0"/>
                <w:i w:val="0"/>
                <w:sz w:val="19"/>
              </w:rPr>
              <w:t>2.0%</w:t>
            </w:r>
          </w:p>
        </w:tc>
      </w:tr>
      <w:tr>
        <w:tc>
          <w:tcPr>
            <w:tcW w:type="dxa" w:w="1560"/>
            <w:shd w:val="clear" w:color="auto" w:fill="F2F4F8"/>
          </w:tcPr>
          <w:p>
            <w:r/>
            <w:r>
              <w:rPr>
                <w:b w:val="0"/>
                <w:i w:val="0"/>
                <w:sz w:val="19"/>
              </w:rPr>
              <w:t>Softfold Textiles</w:t>
            </w:r>
          </w:p>
        </w:tc>
        <w:tc>
          <w:tcPr>
            <w:tcW w:type="dxa" w:w="1560"/>
            <w:shd w:val="clear" w:color="auto" w:fill="F2F4F8"/>
          </w:tcPr>
          <w:p>
            <w:r/>
            <w:r>
              <w:rPr>
                <w:b w:val="0"/>
                <w:i w:val="0"/>
                <w:sz w:val="19"/>
              </w:rPr>
              <w:t>Bedding &amp; Bath</w:t>
            </w:r>
          </w:p>
        </w:tc>
        <w:tc>
          <w:tcPr>
            <w:tcW w:type="dxa" w:w="1560"/>
            <w:shd w:val="clear" w:color="auto" w:fill="F2F4F8"/>
          </w:tcPr>
          <w:p>
            <w:r/>
            <w:r>
              <w:rPr>
                <w:b w:val="0"/>
                <w:i w:val="0"/>
                <w:sz w:val="19"/>
              </w:rPr>
              <w:t>Net 30</w:t>
            </w:r>
          </w:p>
        </w:tc>
        <w:tc>
          <w:tcPr>
            <w:tcW w:type="dxa" w:w="1560"/>
            <w:shd w:val="clear" w:color="auto" w:fill="F2F4F8"/>
          </w:tcPr>
          <w:p>
            <w:r/>
            <w:r>
              <w:rPr>
                <w:b w:val="0"/>
                <w:i w:val="0"/>
                <w:sz w:val="19"/>
              </w:rPr>
              <w:t>2.0% if paid within 10 days</w:t>
            </w:r>
          </w:p>
        </w:tc>
        <w:tc>
          <w:tcPr>
            <w:tcW w:type="dxa" w:w="1560"/>
            <w:shd w:val="clear" w:color="auto" w:fill="F2F4F8"/>
          </w:tcPr>
          <w:p>
            <w:r/>
            <w:r>
              <w:rPr>
                <w:b w:val="0"/>
                <w:i w:val="0"/>
                <w:sz w:val="19"/>
              </w:rPr>
              <w:t>3.5% above $0.9 million</w:t>
            </w:r>
          </w:p>
        </w:tc>
        <w:tc>
          <w:tcPr>
            <w:tcW w:type="dxa" w:w="1560"/>
            <w:shd w:val="clear" w:color="auto" w:fill="F2F4F8"/>
          </w:tcPr>
          <w:p>
            <w:r/>
            <w:r>
              <w:rPr>
                <w:b w:val="0"/>
                <w:i w:val="0"/>
                <w:sz w:val="19"/>
              </w:rPr>
              <w:t>2.0%</w:t>
            </w:r>
          </w:p>
        </w:tc>
      </w:tr>
      <w:tr>
        <w:tc>
          <w:tcPr>
            <w:tcW w:type="dxa" w:w="1560"/>
          </w:tcPr>
          <w:p>
            <w:r/>
            <w:r>
              <w:rPr>
                <w:b w:val="0"/>
                <w:i w:val="0"/>
                <w:sz w:val="19"/>
              </w:rPr>
              <w:t>Tamarack Apparel Group</w:t>
            </w:r>
          </w:p>
        </w:tc>
        <w:tc>
          <w:tcPr>
            <w:tcW w:type="dxa" w:w="1560"/>
          </w:tcPr>
          <w:p>
            <w:r/>
            <w:r>
              <w:rPr>
                <w:b w:val="0"/>
                <w:i w:val="0"/>
                <w:sz w:val="19"/>
              </w:rPr>
              <w:t>Apparel</w:t>
            </w:r>
          </w:p>
        </w:tc>
        <w:tc>
          <w:tcPr>
            <w:tcW w:type="dxa" w:w="1560"/>
          </w:tcPr>
          <w:p>
            <w:r/>
            <w:r>
              <w:rPr>
                <w:b w:val="0"/>
                <w:i w:val="0"/>
                <w:sz w:val="19"/>
              </w:rPr>
              <w:t>Net 30</w:t>
            </w:r>
          </w:p>
        </w:tc>
        <w:tc>
          <w:tcPr>
            <w:tcW w:type="dxa" w:w="1560"/>
          </w:tcPr>
          <w:p>
            <w:r/>
            <w:r>
              <w:rPr>
                <w:b w:val="0"/>
                <w:i w:val="0"/>
                <w:sz w:val="19"/>
              </w:rPr>
              <w:t>1.0% if paid within 10 days</w:t>
            </w:r>
          </w:p>
        </w:tc>
        <w:tc>
          <w:tcPr>
            <w:tcW w:type="dxa" w:w="1560"/>
          </w:tcPr>
          <w:p>
            <w:r/>
            <w:r>
              <w:rPr>
                <w:b w:val="0"/>
                <w:i w:val="0"/>
                <w:sz w:val="19"/>
              </w:rPr>
              <w:t>2.0% above $0.5 million</w:t>
            </w:r>
          </w:p>
        </w:tc>
        <w:tc>
          <w:tcPr>
            <w:tcW w:type="dxa" w:w="1560"/>
          </w:tcPr>
          <w:p>
            <w:r/>
            <w:r>
              <w:rPr>
                <w:b w:val="0"/>
                <w:i w:val="0"/>
                <w:sz w:val="19"/>
              </w:rPr>
              <w:t>3.0%</w:t>
            </w:r>
          </w:p>
        </w:tc>
      </w:tr>
      <w:tr>
        <w:tc>
          <w:tcPr>
            <w:tcW w:type="dxa" w:w="1560"/>
            <w:shd w:val="clear" w:color="auto" w:fill="F2F4F8"/>
          </w:tcPr>
          <w:p>
            <w:r/>
            <w:r>
              <w:rPr>
                <w:b w:val="0"/>
                <w:i w:val="0"/>
                <w:sz w:val="19"/>
              </w:rPr>
              <w:t>Wildfern Outdoor Supply</w:t>
            </w:r>
          </w:p>
        </w:tc>
        <w:tc>
          <w:tcPr>
            <w:tcW w:type="dxa" w:w="1560"/>
            <w:shd w:val="clear" w:color="auto" w:fill="F2F4F8"/>
          </w:tcPr>
          <w:p>
            <w:r/>
            <w:r>
              <w:rPr>
                <w:b w:val="0"/>
                <w:i w:val="0"/>
                <w:sz w:val="19"/>
              </w:rPr>
              <w:t>Outdoor &amp; Garden</w:t>
            </w:r>
          </w:p>
        </w:tc>
        <w:tc>
          <w:tcPr>
            <w:tcW w:type="dxa" w:w="1560"/>
            <w:shd w:val="clear" w:color="auto" w:fill="F2F4F8"/>
          </w:tcPr>
          <w:p>
            <w:r/>
            <w:r>
              <w:rPr>
                <w:b w:val="0"/>
                <w:i w:val="0"/>
                <w:sz w:val="19"/>
              </w:rPr>
              <w:t>Net 60</w:t>
            </w:r>
          </w:p>
        </w:tc>
        <w:tc>
          <w:tcPr>
            <w:tcW w:type="dxa" w:w="1560"/>
            <w:shd w:val="clear" w:color="auto" w:fill="F2F4F8"/>
          </w:tcPr>
          <w:p>
            <w:r/>
            <w:r>
              <w:rPr>
                <w:b w:val="0"/>
                <w:i w:val="0"/>
                <w:sz w:val="19"/>
              </w:rPr>
              <w:t>None</w:t>
            </w:r>
          </w:p>
        </w:tc>
        <w:tc>
          <w:tcPr>
            <w:tcW w:type="dxa" w:w="1560"/>
            <w:shd w:val="clear" w:color="auto" w:fill="F2F4F8"/>
          </w:tcPr>
          <w:p>
            <w:r/>
            <w:r>
              <w:rPr>
                <w:b w:val="0"/>
                <w:i w:val="0"/>
                <w:sz w:val="19"/>
              </w:rPr>
              <w:t>3.0% above $0.8 million</w:t>
            </w:r>
          </w:p>
        </w:tc>
        <w:tc>
          <w:tcPr>
            <w:tcW w:type="dxa" w:w="1560"/>
            <w:shd w:val="clear" w:color="auto" w:fill="F2F4F8"/>
          </w:tcPr>
          <w:p>
            <w:r/>
            <w:r>
              <w:rPr>
                <w:b w:val="0"/>
                <w:i w:val="0"/>
                <w:sz w:val="19"/>
              </w:rPr>
              <w:t>2.5%</w:t>
            </w:r>
          </w:p>
        </w:tc>
      </w:tr>
    </w:tbl>
    <w:p/>
    <w:tbl>
      <w:tblPr>
        <w:tblStyle w:val="TableGrid"/>
        <w:tblW w:type="auto" w:w="0"/>
        <w:tblLook w:firstColumn="1" w:firstRow="1" w:lastColumn="0" w:lastRow="0" w:noHBand="0" w:noVBand="1" w:val="04A0"/>
      </w:tblPr>
      <w:tblGrid>
        <w:gridCol w:w="9360"/>
      </w:tblGrid>
      <w:tr>
        <w:tc>
          <w:tcPr>
            <w:tcW w:type="dxa" w:w="9360"/>
            <w:shd w:val="clear" w:color="auto" w:fill="FFF6E5"/>
          </w:tcPr>
          <w:p>
            <w:r/>
            <w:r>
              <w:rPr>
                <w:b w:val="0"/>
                <w:i w:val="0"/>
                <w:sz w:val="20"/>
              </w:rPr>
              <w:t>Voltara Devices has the longest payment terms in the Electronics category (Net 60) and the highest defect allowance (2.5%). Its smart speaker, robot vacuum and smart display lines are the largest Electronics lines in Lumen's range.</w:t>
            </w:r>
          </w:p>
        </w:tc>
      </w:tr>
    </w:tbl>
    <w:p/>
    <w:p>
      <w:pPr>
        <w:pStyle w:val="Heading1"/>
      </w:pPr>
      <w:r>
        <w:t>4. Returns to vendor and defect allowances</w:t>
      </w:r>
    </w:p>
    <w:p>
      <w:pPr>
        <w:pStyle w:val="ListBullet"/>
      </w:pPr>
      <w:r>
        <w:rPr>
          <w:b/>
          <w:i w:val="0"/>
        </w:rPr>
        <w:t>Defect allowance.</w:t>
      </w:r>
      <w:r>
        <w:rPr>
          <w:b w:val="0"/>
          <w:i w:val="0"/>
        </w:rPr>
        <w:t xml:space="preserve"> Each supplier credits Lumen automatically, every quarter, a percentage of the net cost of units sold equal to its defect allowance in the table above. The allowance covers units returned by customers as defective or damaged.</w:t>
      </w:r>
    </w:p>
    <w:p>
      <w:pPr>
        <w:pStyle w:val="ListBullet"/>
      </w:pPr>
      <w:r>
        <w:rPr>
          <w:b/>
          <w:i w:val="0"/>
        </w:rPr>
        <w:t>Returns to vendor (RTV).</w:t>
      </w:r>
      <w:r>
        <w:rPr>
          <w:b w:val="0"/>
          <w:i w:val="0"/>
        </w:rPr>
        <w:t xml:space="preserve"> Defective units above the allowance are returned to the supplier for full credit of the invoiced cost, plus freight. The supplier must issue a return authorization within 5 business days and credit within 30 days of receipt.</w:t>
      </w:r>
    </w:p>
    <w:p>
      <w:pPr>
        <w:pStyle w:val="ListBullet"/>
      </w:pPr>
      <w:r>
        <w:rPr>
          <w:b/>
          <w:i w:val="0"/>
        </w:rPr>
        <w:t>Customer returns of opened items</w:t>
      </w:r>
      <w:r>
        <w:rPr>
          <w:b w:val="0"/>
          <w:i w:val="0"/>
        </w:rPr>
        <w:t xml:space="preserve"> that are not defective are Lumen's cost. They are recovered through the customer restocking fee in the Return and Refund Policy (POL-RET-014), not from the supplier.</w:t>
      </w:r>
    </w:p>
    <w:p>
      <w:pPr>
        <w:pStyle w:val="ListBullet"/>
      </w:pPr>
      <w:r>
        <w:rPr>
          <w:b/>
          <w:i w:val="0"/>
        </w:rPr>
        <w:t>Clusters.</w:t>
      </w:r>
      <w:r>
        <w:rPr>
          <w:b w:val="0"/>
          <w:i w:val="0"/>
        </w:rPr>
        <w:t xml:space="preserve"> If defective returns of one item exceed 6 percent of units sold in a rolling 60 days, the supplier must open a quality investigation and may be asked to fund a stock withdrawal.</w:t>
      </w:r>
    </w:p>
    <w:p>
      <w:pPr>
        <w:pStyle w:val="Heading1"/>
      </w:pPr>
      <w:r>
        <w:t>5. Price protection and promotion funding</w:t>
      </w:r>
    </w:p>
    <w:p>
      <w:pPr>
        <w:pStyle w:val="ListBullet"/>
      </w:pPr>
      <w:r>
        <w:rPr>
          <w:b/>
          <w:i w:val="0"/>
        </w:rPr>
        <w:t>Price protection.</w:t>
      </w:r>
      <w:r>
        <w:rPr>
          <w:b w:val="0"/>
          <w:i w:val="0"/>
        </w:rPr>
        <w:t xml:space="preserve"> If a supplier lowers its cost, Lumen receives a credit on stock bought in the previous 60 days.</w:t>
      </w:r>
    </w:p>
    <w:p>
      <w:pPr>
        <w:pStyle w:val="ListBullet"/>
      </w:pPr>
      <w:r>
        <w:rPr>
          <w:b/>
          <w:i w:val="0"/>
        </w:rPr>
        <w:t>Promotion funding.</w:t>
      </w:r>
      <w:r>
        <w:rPr>
          <w:b w:val="0"/>
          <w:i w:val="0"/>
        </w:rPr>
        <w:t xml:space="preserve"> Suppliers fund half of the discount on events agreed with the merchant in advance. In fiscal 2026 the funded events are Summer Tech Savings (Electronics suppliers), Outdoor Living Event (Wildfern Outdoor Supply) and Back to School (Softfold Textiles).</w:t>
      </w:r>
    </w:p>
    <w:p>
      <w:pPr>
        <w:pStyle w:val="ListBullet"/>
      </w:pPr>
      <w:r>
        <w:rPr>
          <w:b/>
          <w:i w:val="0"/>
        </w:rPr>
        <w:t>Markdown money</w:t>
      </w:r>
      <w:r>
        <w:rPr>
          <w:b w:val="0"/>
          <w:i w:val="0"/>
        </w:rPr>
        <w:t xml:space="preserve"> for clearance is negotiated per season and is not part of this summary.</w:t>
      </w:r>
    </w:p>
    <w:p>
      <w:pPr>
        <w:pStyle w:val="Heading1"/>
      </w:pPr>
      <w:r>
        <w:t>6. Compliance and quality</w:t>
      </w:r>
    </w:p>
    <w:p>
      <w:pPr>
        <w:pStyle w:val="ListBullet"/>
      </w:pPr>
      <w:r>
        <w:rPr>
          <w:b w:val="0"/>
          <w:i w:val="0"/>
        </w:rPr>
        <w:t>Suppliers certify that products meet applicable US safety and labeling standards, and provide test reports for Electronics and children's items on request.</w:t>
      </w:r>
    </w:p>
    <w:p>
      <w:pPr>
        <w:pStyle w:val="ListBullet"/>
      </w:pPr>
      <w:r>
        <w:rPr>
          <w:b w:val="0"/>
          <w:i w:val="0"/>
        </w:rPr>
        <w:t>Factory audits are carried out annually by an independent auditor; a failed audit puts new purchase orders on hold until the corrective action plan is accepted.</w:t>
      </w:r>
    </w:p>
    <w:p>
      <w:pPr>
        <w:pStyle w:val="ListBullet"/>
      </w:pPr>
      <w:r>
        <w:rPr>
          <w:b w:val="0"/>
          <w:i w:val="0"/>
        </w:rPr>
        <w:t>A supplier must notify Lumen within 24 hours of any recall, safety notice or stop-sale that affects a Lumen item, and must support the store pull-down and customer notification.</w:t>
      </w:r>
    </w:p>
    <w:p>
      <w:pPr>
        <w:pStyle w:val="Heading1"/>
      </w:pPr>
      <w:r>
        <w:t>7. Escalation and contacts</w:t>
      </w:r>
    </w:p>
    <w:p>
      <w:r>
        <w:rPr>
          <w:b w:val="0"/>
          <w:i w:val="0"/>
        </w:rPr>
        <w:t>Commercial questions go to the category merchant first, then to the Vice President of Merchandising. Payment questions go to Accounts Payable. Quality and recall questions go to Procurement Operations. Disputes that are not resolved within 30 days are handled under the dispute clause of the master agreement.</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577"/>
        <w:sz w:val="17"/>
      </w:rPr>
      <w:t xml:space="preserve">PRC-SUP-2026  Internal use only. Synthetic document for a software demonstration.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577"/>
        <w:sz w:val="17"/>
      </w:rPr>
      <w:t>LUMEN RETAIL GROUP  |  Master Supplier Terms Summary, Fiscal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7A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B2A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Supplier Terms Summary, Fiscal 2026</dc:title>
  <dc:subject>Master Supplier Terms Summary, Fiscal 2026</dc:subject>
  <dc:creator>Lumen Retail Group - Procurement</dc:creator>
  <cp:keywords>synthetic, retail, supplier terms</cp:keywords>
  <dc:description>Synthetic document for a software demonstration.</dc:description>
  <cp:lastModifiedBy>Lumen Retail Group - Procurement</cp:lastModifiedBy>
  <cp:revision>1</cp:revision>
  <dcterms:created xsi:type="dcterms:W3CDTF">2026-09-30T12:00:00Z</dcterms:created>
  <dcterms:modified xsi:type="dcterms:W3CDTF">2026-09-30T12:00:00Z</dcterms:modified>
  <cp:category/>
</cp:coreProperties>
</file>