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560"/>
        <w:rPr>
          <w:rFonts w:hint="eastAsia"/>
        </w:rPr>
      </w:pPr>
    </w:p>
    <w:p>
      <w:pPr>
        <w:pStyle w:val="5"/>
        <w:ind w:firstLine="560"/>
        <w:rPr>
          <w:rFonts w:hint="eastAsia"/>
        </w:rPr>
      </w:pPr>
    </w:p>
    <w:p>
      <w:pPr>
        <w:pStyle w:val="5"/>
        <w:ind w:firstLine="560"/>
        <w:rPr>
          <w:rFonts w:hint="eastAsia"/>
        </w:rPr>
      </w:pPr>
    </w:p>
    <w:p>
      <w:pPr>
        <w:pStyle w:val="5"/>
        <w:ind w:firstLine="560"/>
        <w:rPr>
          <w:rFonts w:hint="eastAsia"/>
        </w:rPr>
      </w:pPr>
    </w:p>
    <w:p>
      <w:pPr>
        <w:pStyle w:val="4"/>
        <w:jc w:val="center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JS通信使用方法说明书</w:t>
      </w:r>
      <w:bookmarkStart w:id="1" w:name="_GoBack"/>
      <w:bookmarkEnd w:id="1"/>
    </w:p>
    <w:p>
      <w:pPr>
        <w:pStyle w:val="5"/>
        <w:ind w:firstLine="560"/>
        <w:rPr>
          <w:rFonts w:hint="eastAsia"/>
        </w:rPr>
      </w:pPr>
    </w:p>
    <w:p>
      <w:pPr>
        <w:pStyle w:val="5"/>
        <w:ind w:firstLine="560"/>
        <w:rPr>
          <w:rFonts w:hint="eastAsia"/>
        </w:rPr>
      </w:pPr>
    </w:p>
    <w:p>
      <w:pPr>
        <w:pStyle w:val="5"/>
        <w:ind w:firstLine="560"/>
        <w:rPr>
          <w:rFonts w:hint="eastAsia"/>
        </w:rPr>
      </w:pPr>
    </w:p>
    <w:p>
      <w:pPr>
        <w:pStyle w:val="5"/>
        <w:ind w:firstLine="560"/>
        <w:rPr>
          <w:rFonts w:hint="eastAsia"/>
        </w:rPr>
      </w:pPr>
    </w:p>
    <w:p>
      <w:pPr>
        <w:pStyle w:val="5"/>
        <w:ind w:firstLine="560"/>
        <w:rPr>
          <w:rFonts w:hint="eastAsia"/>
        </w:rPr>
      </w:pPr>
    </w:p>
    <w:p>
      <w:pPr>
        <w:pStyle w:val="5"/>
        <w:ind w:firstLine="0" w:firstLineChars="0"/>
        <w:rPr>
          <w:rFonts w:hint="eastAsia" w:ascii="宋体"/>
          <w:szCs w:val="44"/>
        </w:rPr>
      </w:pPr>
    </w:p>
    <w:p>
      <w:pPr>
        <w:pStyle w:val="5"/>
        <w:ind w:firstLine="560"/>
        <w:rPr>
          <w:rFonts w:hint="eastAsia" w:ascii="宋体"/>
          <w:szCs w:val="44"/>
        </w:rPr>
      </w:pPr>
    </w:p>
    <w:p>
      <w:pPr>
        <w:pStyle w:val="5"/>
        <w:ind w:firstLine="560"/>
        <w:rPr>
          <w:rFonts w:hint="eastAsia" w:ascii="宋体"/>
          <w:szCs w:val="44"/>
        </w:rPr>
      </w:pPr>
    </w:p>
    <w:p>
      <w:pPr>
        <w:widowControl/>
        <w:spacing w:line="240" w:lineRule="auto"/>
        <w:rPr>
          <w:rFonts w:hint="eastAsia"/>
        </w:rPr>
      </w:pPr>
    </w:p>
    <w:p>
      <w:pPr>
        <w:widowControl/>
        <w:spacing w:line="240" w:lineRule="auto"/>
        <w:rPr>
          <w:rFonts w:hint="eastAsia"/>
        </w:rPr>
      </w:pPr>
    </w:p>
    <w:p>
      <w:pPr>
        <w:widowControl/>
        <w:spacing w:line="240" w:lineRule="auto"/>
        <w:rPr>
          <w:rFonts w:hint="eastAsia"/>
        </w:rPr>
      </w:pPr>
    </w:p>
    <w:p>
      <w:pPr>
        <w:widowControl/>
        <w:spacing w:line="240" w:lineRule="auto"/>
        <w:rPr>
          <w:rFonts w:hint="eastAsia"/>
        </w:rPr>
      </w:pPr>
    </w:p>
    <w:p>
      <w:pPr>
        <w:widowControl/>
        <w:spacing w:line="240" w:lineRule="auto"/>
        <w:rPr>
          <w:rFonts w:hint="eastAsia"/>
        </w:rPr>
      </w:pPr>
    </w:p>
    <w:p>
      <w:pPr>
        <w:widowControl/>
        <w:spacing w:line="240" w:lineRule="auto"/>
        <w:rPr>
          <w:rFonts w:hint="eastAsia"/>
        </w:rPr>
      </w:pPr>
    </w:p>
    <w:p>
      <w:pPr>
        <w:widowControl/>
        <w:spacing w:line="240" w:lineRule="auto"/>
        <w:rPr>
          <w:rFonts w:hint="eastAsia"/>
        </w:rPr>
      </w:pPr>
    </w:p>
    <w:p>
      <w:pPr>
        <w:widowControl/>
        <w:spacing w:line="240" w:lineRule="auto"/>
        <w:rPr>
          <w:rFonts w:hint="eastAsia"/>
        </w:rPr>
      </w:pPr>
    </w:p>
    <w:p>
      <w:pPr>
        <w:widowControl/>
        <w:spacing w:line="240" w:lineRule="auto"/>
        <w:rPr>
          <w:rFonts w:hint="eastAsia"/>
        </w:rPr>
      </w:pPr>
    </w:p>
    <w:tbl>
      <w:tblPr>
        <w:tblStyle w:val="12"/>
        <w:tblpPr w:leftFromText="180" w:rightFromText="180" w:vertAnchor="text" w:horzAnchor="margin" w:tblpXSpec="center" w:tblpY="209"/>
        <w:tblW w:w="7229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3480"/>
        <w:gridCol w:w="374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cantSplit/>
        </w:trPr>
        <w:tc>
          <w:tcPr>
            <w:tcW w:w="3480" w:type="dxa"/>
            <w:vAlign w:val="top"/>
          </w:tcPr>
          <w:p>
            <w:pPr>
              <w:pStyle w:val="17"/>
              <w:rPr>
                <w:rFonts w:hint="eastAsia"/>
              </w:rPr>
            </w:pPr>
            <w:r>
              <w:rPr>
                <w:rFonts w:hint="eastAsia"/>
              </w:rPr>
              <w:t>发布日期</w:t>
            </w:r>
          </w:p>
        </w:tc>
        <w:tc>
          <w:tcPr>
            <w:tcW w:w="3749" w:type="dxa"/>
            <w:vAlign w:val="top"/>
          </w:tcPr>
          <w:p>
            <w:pPr>
              <w:pStyle w:val="1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2017.1.17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3480" w:type="dxa"/>
            <w:vAlign w:val="top"/>
          </w:tcPr>
          <w:p>
            <w:pPr>
              <w:pStyle w:val="17"/>
              <w:rPr>
                <w:rFonts w:hint="eastAsia"/>
              </w:rPr>
            </w:pPr>
            <w:r>
              <w:rPr>
                <w:rFonts w:hint="eastAsia"/>
              </w:rPr>
              <w:t>控制级别</w:t>
            </w:r>
          </w:p>
        </w:tc>
        <w:tc>
          <w:tcPr>
            <w:tcW w:w="3749" w:type="dxa"/>
            <w:vAlign w:val="top"/>
          </w:tcPr>
          <w:p>
            <w:pPr>
              <w:pStyle w:val="17"/>
              <w:rPr>
                <w:rFonts w:hint="eastAsia"/>
              </w:rPr>
            </w:pPr>
            <w:r>
              <w:rPr>
                <w:rFonts w:hint="eastAsia"/>
              </w:rPr>
              <w:t>内部资料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3480" w:type="dxa"/>
            <w:vAlign w:val="top"/>
          </w:tcPr>
          <w:p>
            <w:pPr>
              <w:pStyle w:val="17"/>
              <w:rPr>
                <w:rFonts w:hint="eastAsia"/>
              </w:rPr>
            </w:pPr>
            <w:r>
              <w:rPr>
                <w:rFonts w:hint="eastAsia"/>
              </w:rPr>
              <w:t>制定部门</w:t>
            </w:r>
          </w:p>
        </w:tc>
        <w:tc>
          <w:tcPr>
            <w:tcW w:w="3749" w:type="dxa"/>
            <w:vAlign w:val="top"/>
          </w:tcPr>
          <w:p>
            <w:pPr>
              <w:pStyle w:val="17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widowControl/>
        <w:spacing w:line="240" w:lineRule="auto"/>
        <w:rPr>
          <w:rFonts w:hint="eastAsia"/>
        </w:rPr>
      </w:pPr>
    </w:p>
    <w:p>
      <w:pPr>
        <w:widowControl/>
        <w:spacing w:line="240" w:lineRule="auto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737" w:footer="964" w:gutter="0"/>
          <w:cols w:space="425" w:num="1"/>
          <w:titlePg/>
          <w:docGrid w:type="lines" w:linePitch="326" w:charSpace="0"/>
        </w:sectPr>
      </w:pPr>
      <w:bookmarkStart w:id="0" w:name="文档名称"/>
    </w:p>
    <w:p>
      <w:pPr>
        <w:widowControl/>
        <w:spacing w:line="240" w:lineRule="auto"/>
        <w:rPr>
          <w:rFonts w:hint="eastAsia"/>
        </w:rPr>
      </w:pPr>
    </w:p>
    <w:bookmarkEnd w:id="0"/>
    <w:p>
      <w:pPr>
        <w:pStyle w:val="18"/>
        <w:spacing w:after="163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文档属性</w:t>
      </w:r>
    </w:p>
    <w:tbl>
      <w:tblPr>
        <w:tblStyle w:val="12"/>
        <w:tblpPr w:leftFromText="180" w:rightFromText="180" w:vertAnchor="text" w:horzAnchor="margin" w:tblpX="1" w:tblpY="122"/>
        <w:tblW w:w="8945" w:type="dxa"/>
        <w:tblInd w:w="0" w:type="dxa"/>
        <w:tblBorders>
          <w:top w:val="single" w:color="808000" w:sz="12" w:space="0"/>
          <w:left w:val="single" w:color="808000" w:sz="12" w:space="0"/>
          <w:bottom w:val="single" w:color="808000" w:sz="12" w:space="0"/>
          <w:right w:val="single" w:color="808000" w:sz="12" w:space="0"/>
          <w:insideH w:val="single" w:color="808000" w:sz="6" w:space="0"/>
          <w:insideV w:val="single" w:color="808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6251"/>
      </w:tblGrid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  <w:vAlign w:val="top"/>
          </w:tcPr>
          <w:p>
            <w:pPr>
              <w:pStyle w:val="17"/>
              <w:tabs>
                <w:tab w:val="center" w:pos="1206"/>
                <w:tab w:val="right" w:pos="2412"/>
              </w:tabs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ab/>
            </w:r>
            <w:r>
              <w:rPr>
                <w:rFonts w:hint="eastAsia"/>
                <w:color w:val="000000"/>
                <w:szCs w:val="21"/>
              </w:rPr>
              <w:t>属性</w:t>
            </w:r>
            <w:r>
              <w:rPr>
                <w:color w:val="000000"/>
                <w:szCs w:val="21"/>
              </w:rPr>
              <w:tab/>
            </w:r>
          </w:p>
        </w:tc>
        <w:tc>
          <w:tcPr>
            <w:tcW w:w="6251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  <w:vAlign w:val="top"/>
          </w:tcPr>
          <w:p>
            <w:pPr>
              <w:pStyle w:val="17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内容</w:t>
            </w: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tcBorders>
              <w:top w:val="single" w:color="808000" w:sz="6" w:space="0"/>
            </w:tcBorders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用户名称：</w:t>
            </w:r>
          </w:p>
        </w:tc>
        <w:tc>
          <w:tcPr>
            <w:tcW w:w="6251" w:type="dxa"/>
            <w:tcBorders>
              <w:top w:val="single" w:color="808000" w:sz="6" w:space="0"/>
            </w:tcBorders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文档标题：</w:t>
            </w:r>
          </w:p>
        </w:tc>
        <w:tc>
          <w:tcPr>
            <w:tcW w:w="6251" w:type="dxa"/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JS通信使用方法说明书</w:t>
            </w: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文档编号：</w:t>
            </w:r>
          </w:p>
        </w:tc>
        <w:tc>
          <w:tcPr>
            <w:tcW w:w="6251" w:type="dxa"/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版本日期：</w:t>
            </w:r>
          </w:p>
        </w:tc>
        <w:tc>
          <w:tcPr>
            <w:tcW w:w="6251" w:type="dxa"/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1-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发布版本：</w:t>
            </w:r>
          </w:p>
        </w:tc>
        <w:tc>
          <w:tcPr>
            <w:tcW w:w="6251" w:type="dxa"/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V1.0</w:t>
            </w: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适用范围：</w:t>
            </w:r>
          </w:p>
        </w:tc>
        <w:tc>
          <w:tcPr>
            <w:tcW w:w="6251" w:type="dxa"/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作者：</w:t>
            </w:r>
          </w:p>
        </w:tc>
        <w:tc>
          <w:tcPr>
            <w:tcW w:w="6251" w:type="dxa"/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杜鑫  耿远超</w:t>
            </w:r>
          </w:p>
        </w:tc>
      </w:tr>
    </w:tbl>
    <w:p>
      <w:pPr>
        <w:pStyle w:val="5"/>
        <w:ind w:firstLine="560"/>
        <w:rPr>
          <w:rFonts w:hint="eastAsia"/>
        </w:rPr>
      </w:pPr>
    </w:p>
    <w:p>
      <w:pPr>
        <w:pStyle w:val="18"/>
        <w:spacing w:after="163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文档审批</w:t>
      </w:r>
    </w:p>
    <w:tbl>
      <w:tblPr>
        <w:tblStyle w:val="12"/>
        <w:tblW w:w="8928" w:type="dxa"/>
        <w:tblInd w:w="0" w:type="dxa"/>
        <w:tblBorders>
          <w:top w:val="single" w:color="808000" w:sz="12" w:space="0"/>
          <w:left w:val="single" w:color="808000" w:sz="12" w:space="0"/>
          <w:bottom w:val="single" w:color="808000" w:sz="12" w:space="0"/>
          <w:right w:val="single" w:color="808000" w:sz="12" w:space="0"/>
          <w:insideH w:val="single" w:color="808000" w:sz="6" w:space="0"/>
          <w:insideV w:val="single" w:color="808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782"/>
        <w:gridCol w:w="1889"/>
        <w:gridCol w:w="1236"/>
        <w:gridCol w:w="2995"/>
      </w:tblGrid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</w:tblPrEx>
        <w:tc>
          <w:tcPr>
            <w:tcW w:w="1026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  <w:vAlign w:val="top"/>
          </w:tcPr>
          <w:p>
            <w:pPr>
              <w:pStyle w:val="17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审批人</w:t>
            </w:r>
          </w:p>
        </w:tc>
        <w:tc>
          <w:tcPr>
            <w:tcW w:w="1782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  <w:vAlign w:val="top"/>
          </w:tcPr>
          <w:p>
            <w:pPr>
              <w:pStyle w:val="17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职务</w:t>
            </w:r>
          </w:p>
        </w:tc>
        <w:tc>
          <w:tcPr>
            <w:tcW w:w="1889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  <w:vAlign w:val="top"/>
          </w:tcPr>
          <w:p>
            <w:pPr>
              <w:pStyle w:val="17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审批时间</w:t>
            </w:r>
          </w:p>
        </w:tc>
        <w:tc>
          <w:tcPr>
            <w:tcW w:w="1236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  <w:vAlign w:val="top"/>
          </w:tcPr>
          <w:p>
            <w:pPr>
              <w:pStyle w:val="17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审批意见</w:t>
            </w:r>
          </w:p>
        </w:tc>
        <w:tc>
          <w:tcPr>
            <w:tcW w:w="2995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  <w:vAlign w:val="top"/>
          </w:tcPr>
          <w:p>
            <w:pPr>
              <w:pStyle w:val="17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发文编号</w:t>
            </w: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tcBorders>
              <w:top w:val="single" w:color="808000" w:sz="6" w:space="0"/>
            </w:tcBorders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782" w:type="dxa"/>
            <w:tcBorders>
              <w:top w:val="single" w:color="808000" w:sz="6" w:space="0"/>
            </w:tcBorders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889" w:type="dxa"/>
            <w:tcBorders>
              <w:top w:val="single" w:color="808000" w:sz="6" w:space="0"/>
            </w:tcBorders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236" w:type="dxa"/>
            <w:tcBorders>
              <w:top w:val="single" w:color="808000" w:sz="6" w:space="0"/>
            </w:tcBorders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995" w:type="dxa"/>
            <w:tcBorders>
              <w:top w:val="single" w:color="808000" w:sz="6" w:space="0"/>
            </w:tcBorders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782" w:type="dxa"/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889" w:type="dxa"/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236" w:type="dxa"/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995" w:type="dxa"/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</w:p>
        </w:tc>
      </w:tr>
    </w:tbl>
    <w:p>
      <w:pPr>
        <w:pStyle w:val="18"/>
        <w:numPr>
          <w:ilvl w:val="0"/>
          <w:numId w:val="0"/>
        </w:numPr>
        <w:spacing w:after="163"/>
        <w:rPr>
          <w:rFonts w:hint="eastAsia"/>
          <w:color w:val="000000"/>
          <w:szCs w:val="21"/>
        </w:rPr>
      </w:pPr>
    </w:p>
    <w:p>
      <w:pPr>
        <w:pStyle w:val="18"/>
        <w:spacing w:after="163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修订内容</w:t>
      </w:r>
    </w:p>
    <w:tbl>
      <w:tblPr>
        <w:tblStyle w:val="12"/>
        <w:tblW w:w="8928" w:type="dxa"/>
        <w:tblInd w:w="0" w:type="dxa"/>
        <w:tblBorders>
          <w:top w:val="single" w:color="808000" w:sz="12" w:space="0"/>
          <w:left w:val="single" w:color="808000" w:sz="12" w:space="0"/>
          <w:bottom w:val="single" w:color="808000" w:sz="12" w:space="0"/>
          <w:right w:val="single" w:color="808000" w:sz="12" w:space="0"/>
          <w:insideH w:val="single" w:color="808000" w:sz="6" w:space="0"/>
          <w:insideV w:val="single" w:color="808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118"/>
        <w:gridCol w:w="1556"/>
        <w:gridCol w:w="1647"/>
        <w:gridCol w:w="3512"/>
      </w:tblGrid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</w:tblPrEx>
        <w:tc>
          <w:tcPr>
            <w:tcW w:w="1095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  <w:vAlign w:val="top"/>
          </w:tcPr>
          <w:p>
            <w:pPr>
              <w:pStyle w:val="17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版本</w:t>
            </w:r>
          </w:p>
        </w:tc>
        <w:tc>
          <w:tcPr>
            <w:tcW w:w="1118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  <w:vAlign w:val="top"/>
          </w:tcPr>
          <w:p>
            <w:pPr>
              <w:pStyle w:val="17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修正章节</w:t>
            </w:r>
          </w:p>
        </w:tc>
        <w:tc>
          <w:tcPr>
            <w:tcW w:w="1556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  <w:vAlign w:val="top"/>
          </w:tcPr>
          <w:p>
            <w:pPr>
              <w:pStyle w:val="17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日期</w:t>
            </w:r>
          </w:p>
        </w:tc>
        <w:tc>
          <w:tcPr>
            <w:tcW w:w="1647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  <w:vAlign w:val="top"/>
          </w:tcPr>
          <w:p>
            <w:pPr>
              <w:pStyle w:val="17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修正人</w:t>
            </w:r>
          </w:p>
        </w:tc>
        <w:tc>
          <w:tcPr>
            <w:tcW w:w="3512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  <w:vAlign w:val="top"/>
          </w:tcPr>
          <w:p>
            <w:pPr>
              <w:pStyle w:val="17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变更记录</w:t>
            </w: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95" w:type="dxa"/>
            <w:tcBorders>
              <w:top w:val="single" w:color="808000" w:sz="6" w:space="0"/>
            </w:tcBorders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1.0</w:t>
            </w:r>
          </w:p>
        </w:tc>
        <w:tc>
          <w:tcPr>
            <w:tcW w:w="1118" w:type="dxa"/>
            <w:tcBorders>
              <w:top w:val="single" w:color="808000" w:sz="6" w:space="0"/>
            </w:tcBorders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6" w:type="dxa"/>
            <w:tcBorders>
              <w:top w:val="single" w:color="808000" w:sz="6" w:space="0"/>
            </w:tcBorders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-0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647" w:type="dxa"/>
            <w:tcBorders>
              <w:top w:val="single" w:color="808000" w:sz="6" w:space="0"/>
            </w:tcBorders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杜鑫</w:t>
            </w:r>
          </w:p>
        </w:tc>
        <w:tc>
          <w:tcPr>
            <w:tcW w:w="3512" w:type="dxa"/>
            <w:tcBorders>
              <w:top w:val="single" w:color="808000" w:sz="6" w:space="0"/>
            </w:tcBorders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创建文档</w:t>
            </w: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118" w:type="dxa"/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6" w:type="dxa"/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647" w:type="dxa"/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3512" w:type="dxa"/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</w:rPr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tcBorders>
              <w:top w:val="single" w:color="808000" w:sz="6" w:space="0"/>
              <w:left w:val="single" w:color="808000" w:sz="12" w:space="0"/>
              <w:bottom w:val="single" w:color="808000" w:sz="12" w:space="0"/>
              <w:right w:val="single" w:color="808000" w:sz="6" w:space="0"/>
            </w:tcBorders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118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6" w:space="0"/>
            </w:tcBorders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6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6" w:space="0"/>
            </w:tcBorders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647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6" w:space="0"/>
            </w:tcBorders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3512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12" w:space="0"/>
            </w:tcBorders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</w:rPr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tcBorders>
              <w:top w:val="single" w:color="808000" w:sz="6" w:space="0"/>
              <w:left w:val="single" w:color="808000" w:sz="12" w:space="0"/>
              <w:bottom w:val="single" w:color="808000" w:sz="12" w:space="0"/>
              <w:right w:val="single" w:color="808000" w:sz="6" w:space="0"/>
            </w:tcBorders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118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6" w:space="0"/>
            </w:tcBorders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6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6" w:space="0"/>
            </w:tcBorders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647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6" w:space="0"/>
            </w:tcBorders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3512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12" w:space="0"/>
            </w:tcBorders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</w:p>
        </w:tc>
      </w:tr>
    </w:tbl>
    <w:p>
      <w:pPr>
        <w:pStyle w:val="10"/>
        <w:rPr>
          <w:rFonts w:hint="eastAsia"/>
          <w:lang w:val="zh-CN" w:eastAsia="zh-CN"/>
        </w:rPr>
      </w:pPr>
    </w:p>
    <w:p>
      <w:pPr>
        <w:pStyle w:val="18"/>
        <w:spacing w:after="163"/>
        <w:rPr>
          <w:rFonts w:hint="eastAsia"/>
          <w:lang w:val="zh-CN"/>
        </w:rPr>
      </w:pPr>
      <w:r>
        <w:rPr>
          <w:rFonts w:hint="eastAsia"/>
          <w:lang w:val="zh-CN"/>
        </w:rPr>
        <w:t>模板修订历史</w:t>
      </w:r>
    </w:p>
    <w:tbl>
      <w:tblPr>
        <w:tblStyle w:val="12"/>
        <w:tblW w:w="8928" w:type="dxa"/>
        <w:tblInd w:w="0" w:type="dxa"/>
        <w:tblBorders>
          <w:top w:val="single" w:color="808000" w:sz="12" w:space="0"/>
          <w:left w:val="single" w:color="808000" w:sz="12" w:space="0"/>
          <w:bottom w:val="single" w:color="808000" w:sz="12" w:space="0"/>
          <w:right w:val="single" w:color="808000" w:sz="12" w:space="0"/>
          <w:insideH w:val="single" w:color="808000" w:sz="6" w:space="0"/>
          <w:insideV w:val="single" w:color="808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"/>
        <w:gridCol w:w="1556"/>
        <w:gridCol w:w="2001"/>
        <w:gridCol w:w="1487"/>
        <w:gridCol w:w="1453"/>
        <w:gridCol w:w="1354"/>
      </w:tblGrid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  <w:vAlign w:val="top"/>
          </w:tcPr>
          <w:p>
            <w:pPr>
              <w:pStyle w:val="17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版本</w:t>
            </w:r>
          </w:p>
        </w:tc>
        <w:tc>
          <w:tcPr>
            <w:tcW w:w="1556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  <w:vAlign w:val="top"/>
          </w:tcPr>
          <w:p>
            <w:pPr>
              <w:pStyle w:val="17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生效时间</w:t>
            </w:r>
          </w:p>
        </w:tc>
        <w:tc>
          <w:tcPr>
            <w:tcW w:w="2001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  <w:vAlign w:val="top"/>
          </w:tcPr>
          <w:p>
            <w:pPr>
              <w:pStyle w:val="17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变更概要</w:t>
            </w:r>
          </w:p>
        </w:tc>
        <w:tc>
          <w:tcPr>
            <w:tcW w:w="1487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  <w:vAlign w:val="top"/>
          </w:tcPr>
          <w:p>
            <w:pPr>
              <w:pStyle w:val="17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作者</w:t>
            </w:r>
          </w:p>
        </w:tc>
        <w:tc>
          <w:tcPr>
            <w:tcW w:w="1453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  <w:vAlign w:val="top"/>
          </w:tcPr>
          <w:p>
            <w:pPr>
              <w:pStyle w:val="17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审核</w:t>
            </w:r>
          </w:p>
        </w:tc>
        <w:tc>
          <w:tcPr>
            <w:tcW w:w="1354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  <w:vAlign w:val="top"/>
          </w:tcPr>
          <w:p>
            <w:pPr>
              <w:pStyle w:val="17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批准</w:t>
            </w: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" w:type="dxa"/>
            <w:tcBorders>
              <w:top w:val="single" w:color="808000" w:sz="6" w:space="0"/>
            </w:tcBorders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1.0</w:t>
            </w:r>
          </w:p>
        </w:tc>
        <w:tc>
          <w:tcPr>
            <w:tcW w:w="1556" w:type="dxa"/>
            <w:tcBorders>
              <w:top w:val="single" w:color="808000" w:sz="6" w:space="0"/>
            </w:tcBorders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01</w:t>
            </w:r>
            <w:r>
              <w:rPr>
                <w:rFonts w:hint="eastAsia"/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2001" w:type="dxa"/>
            <w:tcBorders>
              <w:top w:val="single" w:color="808000" w:sz="6" w:space="0"/>
            </w:tcBorders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创建文档</w:t>
            </w:r>
          </w:p>
        </w:tc>
        <w:tc>
          <w:tcPr>
            <w:tcW w:w="1487" w:type="dxa"/>
            <w:tcBorders>
              <w:top w:val="single" w:color="808000" w:sz="6" w:space="0"/>
            </w:tcBorders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杜鑫</w:t>
            </w:r>
          </w:p>
        </w:tc>
        <w:tc>
          <w:tcPr>
            <w:tcW w:w="1453" w:type="dxa"/>
            <w:tcBorders>
              <w:top w:val="single" w:color="808000" w:sz="6" w:space="0"/>
            </w:tcBorders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</w:rPr>
            </w:pPr>
          </w:p>
        </w:tc>
        <w:tc>
          <w:tcPr>
            <w:tcW w:w="1354" w:type="dxa"/>
            <w:tcBorders>
              <w:top w:val="single" w:color="808000" w:sz="6" w:space="0"/>
            </w:tcBorders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</w:rPr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" w:type="dxa"/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6" w:type="dxa"/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001" w:type="dxa"/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487" w:type="dxa"/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453" w:type="dxa"/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</w:rPr>
            </w:pPr>
          </w:p>
        </w:tc>
        <w:tc>
          <w:tcPr>
            <w:tcW w:w="1354" w:type="dxa"/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</w:rPr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" w:type="dxa"/>
            <w:tcBorders>
              <w:top w:val="single" w:color="808000" w:sz="6" w:space="0"/>
              <w:left w:val="single" w:color="808000" w:sz="12" w:space="0"/>
              <w:bottom w:val="single" w:color="808000" w:sz="12" w:space="0"/>
              <w:right w:val="single" w:color="808000" w:sz="6" w:space="0"/>
            </w:tcBorders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6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6" w:space="0"/>
            </w:tcBorders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001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6" w:space="0"/>
            </w:tcBorders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487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6" w:space="0"/>
            </w:tcBorders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453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12" w:space="0"/>
            </w:tcBorders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</w:rPr>
            </w:pPr>
          </w:p>
        </w:tc>
        <w:tc>
          <w:tcPr>
            <w:tcW w:w="1354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12" w:space="0"/>
            </w:tcBorders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</w:rPr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" w:type="dxa"/>
            <w:tcBorders>
              <w:top w:val="single" w:color="808000" w:sz="6" w:space="0"/>
              <w:left w:val="single" w:color="808000" w:sz="12" w:space="0"/>
              <w:bottom w:val="single" w:color="808000" w:sz="12" w:space="0"/>
              <w:right w:val="single" w:color="808000" w:sz="6" w:space="0"/>
            </w:tcBorders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6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6" w:space="0"/>
            </w:tcBorders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001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6" w:space="0"/>
            </w:tcBorders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487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6" w:space="0"/>
            </w:tcBorders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453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12" w:space="0"/>
            </w:tcBorders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354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12" w:space="0"/>
            </w:tcBorders>
            <w:vAlign w:val="top"/>
          </w:tcPr>
          <w:p>
            <w:pPr>
              <w:pStyle w:val="19"/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</w:rPr>
            </w:pPr>
          </w:p>
        </w:tc>
      </w:tr>
    </w:tbl>
    <w:p>
      <w:pPr>
        <w:rPr>
          <w:rFonts w:hint="eastAsia"/>
          <w:lang w:val="zh-CN"/>
        </w:rPr>
      </w:pPr>
    </w:p>
    <w:p>
      <w:pPr>
        <w:pStyle w:val="2"/>
        <w:jc w:val="center"/>
        <w:rPr>
          <w:rFonts w:ascii="微软雅黑" w:hAnsi="微软雅黑" w:eastAsia="微软雅黑" w:cs="微软雅黑"/>
          <w:sz w:val="52"/>
          <w:szCs w:val="52"/>
        </w:rPr>
      </w:pPr>
      <w:r>
        <w:rPr>
          <w:rFonts w:hint="eastAsia" w:ascii="微软雅黑" w:hAnsi="微软雅黑" w:eastAsia="微软雅黑" w:cs="微软雅黑"/>
          <w:sz w:val="52"/>
          <w:szCs w:val="52"/>
        </w:rPr>
        <w:t>通信接口说明文档</w:t>
      </w:r>
    </w:p>
    <w:p>
      <w:pPr>
        <w:pStyle w:val="2"/>
      </w:pPr>
      <w:r>
        <w:rPr>
          <w:rFonts w:hint="eastAsia"/>
        </w:rPr>
        <w:t>1 背景</w:t>
      </w:r>
    </w:p>
    <w:p>
      <w:pPr>
        <w:ind w:firstLine="420"/>
      </w:pPr>
      <w:r>
        <w:rPr>
          <w:rFonts w:hint="eastAsia" w:ascii="微软雅黑" w:hAnsi="微软雅黑" w:eastAsia="微软雅黑" w:cs="微软雅黑"/>
          <w:sz w:val="24"/>
        </w:rPr>
        <w:t>js端与前置进行数据交互的过程中，数据需要经过原生（ios/android）/模拟桥进行加、解密。因此数据在原生/模拟桥与js的传递过程中，可以进行分阶段处理。</w:t>
      </w:r>
    </w:p>
    <w:p>
      <w:pPr>
        <w:pStyle w:val="2"/>
      </w:pPr>
      <w:r>
        <w:rPr>
          <w:rFonts w:hint="eastAsia"/>
        </w:rPr>
        <w:t>2 数据包格式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根据pastry平台通信协议定义的数据包格式，原生/模拟桥从前置获取的是双层数据包。解密之后基本格式如下：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// 外层数据包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>{</w:t>
      </w:r>
    </w:p>
    <w:p>
      <w:pPr>
        <w:autoSpaceDE w:val="0"/>
        <w:autoSpaceDN w:val="0"/>
        <w:adjustRightInd w:val="0"/>
        <w:ind w:left="840" w:leftChars="400" w:firstLine="480" w:firstLineChars="200"/>
        <w:jc w:val="left"/>
        <w:rPr>
          <w:rFonts w:ascii="微软雅黑" w:hAnsi="微软雅黑" w:eastAsia="微软雅黑" w:cs="微软雅黑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>"pkgFlag" : "0",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微软雅黑" w:hAnsi="微软雅黑" w:eastAsia="微软雅黑" w:cs="微软雅黑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 xml:space="preserve">    "errCode" : "0",</w:t>
      </w:r>
      <w:r>
        <w:rPr>
          <w:rFonts w:hint="eastAsia" w:ascii="微软雅黑" w:hAnsi="微软雅黑" w:eastAsia="微软雅黑" w:cs="微软雅黑"/>
          <w:kern w:val="0"/>
          <w:sz w:val="24"/>
        </w:rPr>
        <w:t xml:space="preserve"> </w:t>
      </w:r>
    </w:p>
    <w:p>
      <w:pPr>
        <w:autoSpaceDE w:val="0"/>
        <w:autoSpaceDN w:val="0"/>
        <w:adjustRightInd w:val="0"/>
        <w:ind w:left="840" w:leftChars="400" w:firstLine="400"/>
        <w:jc w:val="left"/>
        <w:rPr>
          <w:rFonts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>"errMsg" : "",</w:t>
      </w:r>
    </w:p>
    <w:p>
      <w:pPr>
        <w:autoSpaceDE w:val="0"/>
        <w:autoSpaceDN w:val="0"/>
        <w:adjustRightInd w:val="0"/>
        <w:ind w:left="840" w:leftChars="400" w:firstLine="400"/>
        <w:jc w:val="left"/>
        <w:rPr>
          <w:rFonts w:ascii="微软雅黑" w:hAnsi="微软雅黑" w:eastAsia="微软雅黑" w:cs="微软雅黑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>// 内层数据包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微软雅黑" w:hAnsi="微软雅黑" w:eastAsia="微软雅黑" w:cs="微软雅黑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 xml:space="preserve">    "dataPackage" :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 xml:space="preserve">        "cryptFlag" : "0",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 xml:space="preserve">        "hashFlag" : "0",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>"hash" : "hash值",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 xml:space="preserve">    "signatureFlag" : "0",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微软雅黑" w:hAnsi="微软雅黑" w:eastAsia="微软雅黑" w:cs="微软雅黑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>"signature" : "签名值",</w:t>
      </w:r>
    </w:p>
    <w:p>
      <w:pPr>
        <w:autoSpaceDE w:val="0"/>
        <w:autoSpaceDN w:val="0"/>
        <w:adjustRightInd w:val="0"/>
        <w:ind w:left="1800" w:leftChars="400" w:hanging="960" w:hangingChars="400"/>
        <w:jc w:val="left"/>
        <w:rPr>
          <w:rFonts w:ascii="微软雅黑" w:hAnsi="微软雅黑" w:eastAsia="微软雅黑" w:cs="微软雅黑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 xml:space="preserve">        "business" : "{\"xxx\":\"yyyyy\", \”xxx1\”:\”yyyyy1\”}"</w:t>
      </w:r>
    </w:p>
    <w:p>
      <w:pPr>
        <w:autoSpaceDE w:val="0"/>
        <w:autoSpaceDN w:val="0"/>
        <w:adjustRightInd w:val="0"/>
        <w:ind w:left="840" w:leftChars="400" w:firstLine="480"/>
        <w:jc w:val="left"/>
        <w:rPr>
          <w:rFonts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>}</w:t>
      </w:r>
    </w:p>
    <w:p>
      <w:pPr>
        <w:autoSpaceDE w:val="0"/>
        <w:autoSpaceDN w:val="0"/>
        <w:adjustRightInd w:val="0"/>
        <w:ind w:left="840" w:leftChars="400" w:firstLine="400"/>
        <w:jc w:val="left"/>
        <w:rPr>
          <w:rFonts w:ascii="微软雅黑" w:hAnsi="微软雅黑" w:eastAsia="微软雅黑" w:cs="微软雅黑"/>
          <w:color w:val="FF0000"/>
          <w:kern w:val="0"/>
          <w:sz w:val="24"/>
        </w:rPr>
      </w:pPr>
      <w:r>
        <w:rPr>
          <w:rFonts w:ascii="微软雅黑" w:hAnsi="微软雅黑" w:eastAsia="微软雅黑" w:cs="微软雅黑"/>
          <w:color w:val="FF0000"/>
          <w:kern w:val="0"/>
          <w:sz w:val="24"/>
        </w:rPr>
        <w:t>P</w:t>
      </w:r>
      <w:r>
        <w:rPr>
          <w:rFonts w:hint="eastAsia" w:ascii="微软雅黑" w:hAnsi="微软雅黑" w:eastAsia="微软雅黑" w:cs="微软雅黑"/>
          <w:color w:val="FF0000"/>
          <w:kern w:val="0"/>
          <w:sz w:val="24"/>
        </w:rPr>
        <w:t>t</w:t>
      </w:r>
      <w:r>
        <w:rPr>
          <w:rFonts w:ascii="微软雅黑" w:hAnsi="微软雅黑" w:eastAsia="微软雅黑" w:cs="微软雅黑"/>
          <w:color w:val="FF0000"/>
          <w:kern w:val="0"/>
          <w:sz w:val="24"/>
        </w:rPr>
        <w:t xml:space="preserve">SessionState: </w:t>
      </w:r>
      <w:r>
        <w:rPr>
          <w:rFonts w:hint="eastAsia" w:ascii="微软雅黑" w:hAnsi="微软雅黑" w:eastAsia="微软雅黑" w:cs="微软雅黑"/>
          <w:color w:val="FF0000"/>
          <w:kern w:val="0"/>
          <w:sz w:val="24"/>
        </w:rPr>
        <w:t>“</w:t>
      </w:r>
      <w:r>
        <w:rPr>
          <w:rFonts w:ascii="微软雅黑" w:hAnsi="微软雅黑" w:eastAsia="微软雅黑" w:cs="微软雅黑"/>
          <w:color w:val="FF0000"/>
          <w:kern w:val="0"/>
          <w:sz w:val="24"/>
        </w:rPr>
        <w:t xml:space="preserve">4”   </w:t>
      </w:r>
      <w:r>
        <w:rPr>
          <w:rFonts w:hint="eastAsia" w:ascii="微软雅黑" w:hAnsi="微软雅黑" w:eastAsia="微软雅黑" w:cs="微软雅黑"/>
          <w:color w:val="FF0000"/>
          <w:kern w:val="0"/>
          <w:sz w:val="24"/>
        </w:rPr>
        <w:t>//扩展字段 由原生写入，js读取；描述会话状态 具体描述见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>《</w:t>
      </w:r>
      <w:r>
        <w:rPr>
          <w:rFonts w:hint="eastAsia" w:ascii="微软雅黑" w:hAnsi="微软雅黑" w:eastAsia="微软雅黑" w:cs="微软雅黑"/>
          <w:sz w:val="24"/>
        </w:rPr>
        <w:t>pastry平台通信协议V1.0.1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>》</w:t>
      </w:r>
    </w:p>
    <w:p>
      <w:pPr>
        <w:autoSpaceDE w:val="0"/>
        <w:autoSpaceDN w:val="0"/>
        <w:adjustRightInd w:val="0"/>
        <w:ind w:left="840" w:leftChars="400" w:firstLine="480"/>
        <w:jc w:val="left"/>
        <w:rPr>
          <w:rFonts w:ascii="微软雅黑" w:hAnsi="微软雅黑" w:eastAsia="微软雅黑" w:cs="微软雅黑"/>
          <w:kern w:val="0"/>
          <w:sz w:val="24"/>
        </w:rPr>
      </w:pPr>
    </w:p>
    <w:p>
      <w:pPr>
        <w:ind w:left="840" w:leftChars="400"/>
        <w:rPr>
          <w:rFonts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>}</w:t>
      </w:r>
    </w:p>
    <w:p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>具体详见《</w:t>
      </w:r>
      <w:r>
        <w:rPr>
          <w:rFonts w:hint="eastAsia" w:ascii="微软雅黑" w:hAnsi="微软雅黑" w:eastAsia="微软雅黑" w:cs="微软雅黑"/>
          <w:sz w:val="24"/>
        </w:rPr>
        <w:t>pastry平台通信协议V1.0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>》</w:t>
      </w:r>
    </w:p>
    <w:p>
      <w:pPr>
        <w:pStyle w:val="2"/>
      </w:pPr>
      <w:r>
        <w:rPr>
          <w:rFonts w:hint="eastAsia"/>
        </w:rPr>
        <w:t>3 目标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设计：功能分离，明确各模块功能，</w:t>
      </w:r>
    </w:p>
    <w:p>
      <w:pPr>
        <w:rPr>
          <w:rFonts w:hint="eastAsia"/>
        </w:rPr>
      </w:pPr>
      <w:r>
        <w:rPr>
          <w:rFonts w:hint="eastAsia" w:ascii="微软雅黑" w:hAnsi="微软雅黑" w:eastAsia="微软雅黑" w:cs="微软雅黑"/>
          <w:sz w:val="24"/>
        </w:rPr>
        <w:t>业务：简化js端操作，只需关注业务数据，不必管理非业务状态</w:t>
      </w:r>
    </w:p>
    <w:p>
      <w:pPr>
        <w:pStyle w:val="2"/>
      </w:pPr>
      <w:r>
        <w:rPr>
          <w:rFonts w:hint="eastAsia"/>
        </w:rPr>
        <w:t>4 设计思路</w:t>
      </w:r>
    </w:p>
    <w:p/>
    <w:p>
      <w:pPr>
        <w:pStyle w:val="3"/>
      </w:pPr>
      <w:r>
        <w:rPr>
          <w:rFonts w:hint="eastAsia"/>
        </w:rPr>
        <w:t>4.1 数据层面</w:t>
      </w:r>
    </w:p>
    <w:p>
      <w:pPr>
        <w:rPr>
          <w:rFonts w:hint="eastAsia"/>
        </w:rPr>
      </w:pPr>
      <w:r>
        <w:tab/>
      </w:r>
      <w:r>
        <w:rPr>
          <w:rFonts w:ascii="微软雅黑" w:hAnsi="微软雅黑" w:eastAsia="微软雅黑" w:cs="微软雅黑"/>
          <w:sz w:val="24"/>
        </w:rPr>
        <w:t>C</w:t>
      </w:r>
      <w:r>
        <w:rPr>
          <w:rFonts w:hint="eastAsia" w:ascii="微软雅黑" w:hAnsi="微软雅黑" w:eastAsia="微软雅黑" w:cs="微软雅黑"/>
          <w:sz w:val="24"/>
        </w:rPr>
        <w:t>ordova保存原生与js的通信状态。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ptHttp接收到的是完整的外层数据包，在此阶段可以对外层数据包的错误信息进行处理；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mlHttp接收到的是内层数据包中的业务数据，在此阶段可以对内层数据包的错误信息进行处理；</w:t>
      </w:r>
    </w:p>
    <w:p>
      <w:pPr>
        <w:ind w:firstLine="420"/>
      </w:pPr>
      <w:r>
        <w:rPr>
          <w:rFonts w:hint="eastAsia" w:ascii="微软雅黑" w:hAnsi="微软雅黑" w:eastAsia="微软雅黑" w:cs="微软雅黑"/>
          <w:sz w:val="24"/>
        </w:rPr>
        <w:t>正常情况下，业务端接收到的是交互成功的内层数据包。</w:t>
      </w:r>
    </w:p>
    <w:p>
      <w:pPr>
        <w:pStyle w:val="3"/>
      </w:pPr>
      <w:r>
        <w:rPr>
          <w:rFonts w:hint="eastAsia"/>
        </w:rPr>
        <w:t>4.2 逻辑层面</w:t>
      </w:r>
    </w:p>
    <w:p>
      <w:pPr>
        <w:ind w:firstLine="420"/>
        <w:rPr>
          <w:rFonts w:hint="eastAsia"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C</w:t>
      </w:r>
      <w:r>
        <w:rPr>
          <w:rFonts w:hint="eastAsia" w:ascii="微软雅黑" w:hAnsi="微软雅黑" w:eastAsia="微软雅黑" w:cs="微软雅黑"/>
          <w:sz w:val="24"/>
        </w:rPr>
        <w:t>ordova封装了js与原生的交互方法，实现js与原生数据交互。</w:t>
      </w:r>
      <w:r>
        <w:rPr>
          <w:rFonts w:ascii="微软雅黑" w:hAnsi="微软雅黑" w:eastAsia="微软雅黑" w:cs="微软雅黑"/>
          <w:sz w:val="24"/>
        </w:rPr>
        <w:t>C</w:t>
      </w:r>
      <w:r>
        <w:rPr>
          <w:rFonts w:hint="eastAsia" w:ascii="微软雅黑" w:hAnsi="微软雅黑" w:eastAsia="微软雅黑" w:cs="微软雅黑"/>
          <w:sz w:val="24"/>
        </w:rPr>
        <w:t>ordova桥接收的是原生与js通信状态的描述；通信成功则ptHttp接收到双层数据包；约定不支持通信失败，只存在通信成功。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ptHttp是通过cordova与原生交互的；所有的请求都是在此组装后经原生加密发往前置；从前置接收的数据包经原生解密之后，在此开始传递到js端；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mlHttp是在ptHttp的基础上，根据接口所需要的参数，进行了再次封装；并且对token和accessToken进行统一管理，减少业务端的操作。</w:t>
      </w:r>
    </w:p>
    <w:p>
      <w:pPr>
        <w:pStyle w:val="2"/>
      </w:pPr>
      <w:r>
        <w:rPr>
          <w:rFonts w:hint="eastAsia"/>
        </w:rPr>
        <w:t>5 通信流程</w:t>
      </w:r>
    </w:p>
    <w:p>
      <w:pPr>
        <w:pStyle w:val="3"/>
      </w:pPr>
      <w:r>
        <w:rPr>
          <w:rFonts w:hint="eastAsia"/>
        </w:rPr>
        <w:t>5.1整个通信流程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发送请求：Js端---&gt;mlHttp---&gt;ptHttp---&gt;原生端---&gt;前置---&gt;服务器</w:t>
      </w:r>
    </w:p>
    <w:p>
      <w:pPr>
        <w:ind w:firstLine="42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接收响应：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服务器---&gt;前置---&gt;原生端---&gt;ptHttp---&gt;mlHttp---&gt;js端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本文档关注的是到原生端的通信</w:t>
      </w:r>
    </w:p>
    <w:p>
      <w:pPr>
        <w:pStyle w:val="3"/>
      </w:pPr>
      <w:r>
        <w:rPr>
          <w:rFonts w:hint="eastAsia"/>
        </w:rPr>
        <w:t>5.2各层级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Js端：调用postNotoken/postToken/postAuthToken方法，配置参数，发送请求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mlHttp: 定义postNotoken/postToken/postAuthToken方法；调用ptHttp.post()方法；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ptHttp：定义ptHttp.post()方法；调用window.corrdova.exec()方法</w:t>
      </w:r>
    </w:p>
    <w:p>
      <w:pPr>
        <w:pStyle w:val="3"/>
      </w:pPr>
      <w:r>
        <w:rPr>
          <w:rFonts w:hint="eastAsia"/>
        </w:rPr>
        <w:t>5.3 回调说明（原生到js）</w:t>
      </w:r>
    </w:p>
    <w:p>
      <w:pPr>
        <w:rPr>
          <w:rFonts w:hint="eastAsia"/>
        </w:rPr>
      </w:pP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其中这些方法都会传递成功回调（success callback）和失败回调(error callback)。他们的所代表的含义也不同。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从源头window.cordova.exec()说起，success 代表基于cordova的js与原生通信桥成功的回调，error 是通信桥失败的回调。分别代表的js和原生成功建立连接和建立连接失败之后的回调。向后的整个传递过程都是在 success 的基础之上的。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因此，ptHttp接收的success和error都是在window.cordova.exec的success中。</w:t>
      </w:r>
      <w:r>
        <w:rPr>
          <w:rFonts w:hint="eastAsia" w:ascii="微软雅黑" w:hAnsi="微软雅黑" w:eastAsia="微软雅黑" w:cs="微软雅黑"/>
          <w:sz w:val="24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详见流程图</w:t>
      </w:r>
      <w:r>
        <w:rPr>
          <w:rFonts w:hint="eastAsia" w:ascii="微软雅黑" w:hAnsi="微软雅黑" w:eastAsia="微软雅黑" w:cs="微软雅黑"/>
          <w:sz w:val="24"/>
          <w:lang w:eastAsia="zh-CN"/>
        </w:rPr>
        <w:t>）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从Js端传进来的success和error是针对接口请求有没有得到预期结果的。Success 表示的是成功得到预期结果的回调。Error 是没有得到预期结果的回调。</w:t>
      </w:r>
    </w:p>
    <w:p>
      <w:pPr>
        <w:rPr>
          <w:rFonts w:ascii="微软雅黑" w:hAnsi="微软雅黑" w:eastAsia="微软雅黑" w:cs="微软雅黑"/>
          <w:sz w:val="24"/>
        </w:rPr>
      </w:pPr>
    </w:p>
    <w:p>
      <w:pPr>
        <w:pStyle w:val="2"/>
      </w:pPr>
      <w:r>
        <w:rPr>
          <w:rFonts w:hint="eastAsia"/>
        </w:rPr>
        <w:t>6 具体实现</w:t>
      </w:r>
    </w:p>
    <w:p>
      <w:pPr>
        <w:pStyle w:val="3"/>
      </w:pPr>
      <w:r>
        <w:rPr>
          <w:rFonts w:hint="eastAsia"/>
        </w:rPr>
        <w:t>6.1 ptHttp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ptHttp是js与原生的联通桥；建立在cordova基础上。所有的js端请求都是通过ptHttp转发给原生，进行加密、再处理。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ptHttp有两个功能。密钥协商和转发请求。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密钥协商是在原生与前置握手成功之后进行密钥配送的步骤。原生端在程序启动时就会与前置进行握手及协商密钥，ptHttp提供了会话过期时重新协商密钥的方法。</w:t>
      </w:r>
    </w:p>
    <w:p>
      <w:pPr>
        <w:ind w:firstLine="42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转发请求分为网页请求和真机请求。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网页请求方法使用angular$http服务，允许客户端通过网页发送接口请求，模拟桥代替原生，经过模拟桥加密之后发往前置；接收到前置返回之后也是先在模拟桥解密之后再发往js。</w:t>
      </w:r>
    </w:p>
    <w:p>
      <w:pPr>
        <w:ind w:firstLine="420" w:firstLineChars="0"/>
      </w:pPr>
      <w:r>
        <w:rPr>
          <w:rFonts w:hint="eastAsia" w:ascii="微软雅黑" w:hAnsi="微软雅黑" w:eastAsia="微软雅黑" w:cs="微软雅黑"/>
          <w:sz w:val="24"/>
        </w:rPr>
        <w:t>并且，在接收到完整双层数据包之后，会先对外层数据包进行处理；如果外层数据包报错；会直接弹窗提示，并且终止向后交互传递数据。只有外层数据包正确时才会剥离内层数据包业务信息，向后传递给mlHttp。</w:t>
      </w:r>
    </w:p>
    <w:p>
      <w:pPr>
        <w:pStyle w:val="3"/>
      </w:pPr>
      <w:r>
        <w:rPr>
          <w:rFonts w:hint="eastAsia"/>
        </w:rPr>
        <w:t>6.2 mlHttp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mlHttp是在ptHttp的基础上，根据请求所需要的参数，对请求方法进行了分类封装。并且集中管理token和authToken令牌，以期简化业务端操作。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在对token管理中，提供了token对象的get和set方法，以便获取和设置token；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对authToken也提供了get和set方法，功能一样。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根据请求对token和authToken的依赖，提供了三种接口请求方法：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postNoToken： 该类请求不依赖token或authToken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postToken：该类请求依赖token不依赖authToken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postAuthToken：该类请求依赖token和authToken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各类的依赖在mlHttp中会自动添加；无需业务端传递。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其中postNoToken只适用获取token请求，并在获取成功之后调用set方法进行管理。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另外在postToken在用于登录申请时，会对成功回调进行改造，登陆成功之后会自动存储authToken，无需业务端管理。</w:t>
      </w:r>
    </w:p>
    <w:p>
      <w:r>
        <w:rPr>
          <w:rFonts w:hint="eastAsia" w:ascii="微软雅黑" w:hAnsi="微软雅黑" w:eastAsia="微软雅黑" w:cs="微软雅黑"/>
          <w:sz w:val="24"/>
        </w:rPr>
        <w:t>并且，mlHttp在接收到ptHttp传递的内层业务数据之后，也会对数据进行预处理；如果业务数据报错；会直接弹窗提示，终止向业务传递；只有业务数据正确无误时，才会把数据传递给业务操作。</w:t>
      </w:r>
    </w:p>
    <w:p>
      <w:pPr>
        <w:pStyle w:val="2"/>
      </w:pPr>
      <w:r>
        <w:rPr>
          <w:rFonts w:hint="eastAsia"/>
        </w:rPr>
        <w:t>7 常见错误情况分析</w:t>
      </w:r>
    </w:p>
    <w:p>
      <w:pPr>
        <w:pStyle w:val="3"/>
      </w:pPr>
      <w:r>
        <w:rPr>
          <w:rFonts w:hint="eastAsia"/>
        </w:rPr>
        <w:t>7.1 外层数据包的常见错误及对应错误码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PTComPackage 的外层数据包 errCode :</w:t>
      </w:r>
    </w:p>
    <w:p>
      <w:pPr>
        <w:ind w:left="420"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1、 前置框架定义的状态码0：请求成功</w:t>
      </w:r>
    </w:p>
    <w:p>
      <w:pPr>
        <w:ind w:left="420"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2、 框架状态码1：会话状态错误</w:t>
      </w:r>
    </w:p>
    <w:p>
      <w:pPr>
        <w:ind w:left="420"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3、 框架状态码2：网络不通               </w:t>
      </w:r>
    </w:p>
    <w:p>
      <w:pPr>
        <w:ind w:left="420"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4、 框架状态码3：未知的异常错误</w:t>
      </w:r>
    </w:p>
    <w:p>
      <w:pPr>
        <w:ind w:left="420"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5、 服务器状态码500：      </w:t>
      </w:r>
    </w:p>
    <w:p>
      <w:pPr>
        <w:ind w:left="420"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6、 服务器错误404：</w:t>
      </w:r>
    </w:p>
    <w:p>
      <w:pPr>
        <w:ind w:left="420"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7、 前置框架自定义状态码 10001： 自定义状态码1    </w:t>
      </w:r>
    </w:p>
    <w:p>
      <w:pPr>
        <w:ind w:left="420"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8、 前置框架自定义状态码 10002： 自定义状态码2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其中，分为3类错误：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1：框架报错 ；此时数据还在客户端；请求还未发出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2：前置报错；此时数据传输到前置，但是数据有错误，导致前置无法处理、转发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3：服务器错误；此时数据传输到服务器；可能会出现服务器连接错误或连接成功处理数据错误。</w:t>
      </w:r>
    </w:p>
    <w:p/>
    <w:p>
      <w:pPr>
        <w:pStyle w:val="3"/>
      </w:pPr>
      <w:r>
        <w:rPr>
          <w:rFonts w:hint="eastAsia"/>
        </w:rPr>
        <w:t>7.2 内层数据包常见错误及对应错误码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内层数据包的错误码、错误信息通常是由后台制订；不同的项目有不同通的规则。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/>
        <w:lang w:eastAsia="zh-CN"/>
      </w:rPr>
    </w:pPr>
    <w:r>
      <w:rPr>
        <w:rFonts w:hint="eastAsia" w:eastAsia="仿宋_GB2312"/>
        <w:i/>
        <w:szCs w:val="21"/>
        <w:lang w:val="en-US" w:eastAsia="zh-CN"/>
      </w:rPr>
      <w:t xml:space="preserve">本文档所有权属于中信银行股份有限公司                                  </w:t>
    </w:r>
    <w:r>
      <w:rPr>
        <w:rFonts w:hint="eastAsia"/>
        <w:lang w:eastAsia="zh-CN"/>
      </w:rPr>
      <w:t>第</w:t>
    </w: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V</w:t>
    </w:r>
    <w:r>
      <w:rPr>
        <w:b/>
        <w:sz w:val="24"/>
        <w:szCs w:val="24"/>
      </w:rPr>
      <w:fldChar w:fldCharType="end"/>
    </w:r>
    <w:r>
      <w:rPr>
        <w:rFonts w:hint="eastAsia"/>
        <w:b/>
        <w:sz w:val="24"/>
        <w:szCs w:val="24"/>
        <w:lang w:eastAsia="zh-CN"/>
      </w:rPr>
      <w:t xml:space="preserve"> </w:t>
    </w:r>
    <w:r>
      <w:rPr>
        <w:rFonts w:hint="eastAsia"/>
        <w:lang w:eastAsia="zh-CN"/>
      </w:rPr>
      <w:t>页</w:t>
    </w:r>
    <w:r>
      <w:rPr>
        <w:lang w:val="zh-CN"/>
      </w:rPr>
      <w:t xml:space="preserve"> / </w:t>
    </w:r>
    <w:r>
      <w:rPr>
        <w:rFonts w:hint="eastAsia"/>
        <w:lang w:val="zh-CN" w:eastAsia="zh-CN"/>
      </w:rPr>
      <w:t xml:space="preserve"> 共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9</w:t>
    </w:r>
    <w:r>
      <w:rPr>
        <w:b/>
        <w:sz w:val="24"/>
        <w:szCs w:val="24"/>
      </w:rPr>
      <w:fldChar w:fldCharType="end"/>
    </w:r>
    <w:r>
      <w:rPr>
        <w:rFonts w:hint="eastAsia"/>
        <w:b/>
        <w:sz w:val="24"/>
        <w:szCs w:val="24"/>
        <w:lang w:eastAsia="zh-CN"/>
      </w:rPr>
      <w:t xml:space="preserve"> </w:t>
    </w:r>
    <w:r>
      <w:rPr>
        <w:rFonts w:hint="eastAsia"/>
        <w:lang w:eastAsia="zh-CN"/>
      </w:rPr>
      <w:t>页</w:t>
    </w:r>
  </w:p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4" w:space="1"/>
      </w:pBdr>
      <w:rPr>
        <w:rFonts w:hint="eastAsia"/>
        <w:lang w:eastAsia="zh-CN"/>
      </w:rPr>
    </w:pPr>
    <w:r>
      <w:rPr>
        <w:rFonts w:hint="eastAsia"/>
        <w:lang w:val="en-US" w:eastAsia="zh-C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4229100</wp:posOffset>
          </wp:positionH>
          <wp:positionV relativeFrom="paragraph">
            <wp:posOffset>-78105</wp:posOffset>
          </wp:positionV>
          <wp:extent cx="979805" cy="219710"/>
          <wp:effectExtent l="0" t="0" r="10795" b="8890"/>
          <wp:wrapNone/>
          <wp:docPr id="1" name="图片 9" descr="说明: CI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9" descr="说明: CITIC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9805" cy="2197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>概要设计说明书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32147"/>
    <w:multiLevelType w:val="multilevel"/>
    <w:tmpl w:val="67F32147"/>
    <w:lvl w:ilvl="0" w:tentative="0">
      <w:start w:val="1"/>
      <w:numFmt w:val="bullet"/>
      <w:lvlText w:val=""/>
      <w:lvlJc w:val="left"/>
      <w:pPr>
        <w:tabs>
          <w:tab w:val="left" w:pos="360"/>
        </w:tabs>
        <w:ind w:left="252" w:hanging="252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723B1E07"/>
    <w:multiLevelType w:val="multilevel"/>
    <w:tmpl w:val="723B1E07"/>
    <w:lvl w:ilvl="0" w:tentative="0">
      <w:start w:val="1"/>
      <w:numFmt w:val="bullet"/>
      <w:pStyle w:val="18"/>
      <w:lvlText w:val=""/>
      <w:lvlJc w:val="left"/>
      <w:pPr>
        <w:tabs>
          <w:tab w:val="left" w:pos="374"/>
        </w:tabs>
        <w:ind w:left="374" w:hanging="374"/>
      </w:pPr>
      <w:rPr>
        <w:rFonts w:hint="default" w:ascii="Wingdings" w:hAnsi="Wingdings"/>
        <w:b/>
        <w:i w:val="0"/>
        <w:sz w:val="21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B8F"/>
    <w:rsid w:val="000A3C93"/>
    <w:rsid w:val="000B506D"/>
    <w:rsid w:val="000C3F20"/>
    <w:rsid w:val="00113AF7"/>
    <w:rsid w:val="001F2EA8"/>
    <w:rsid w:val="00306652"/>
    <w:rsid w:val="0037427F"/>
    <w:rsid w:val="003C5D9C"/>
    <w:rsid w:val="003C6595"/>
    <w:rsid w:val="00407AC9"/>
    <w:rsid w:val="00715BF3"/>
    <w:rsid w:val="00951BBF"/>
    <w:rsid w:val="00992554"/>
    <w:rsid w:val="00A614F8"/>
    <w:rsid w:val="00AC343C"/>
    <w:rsid w:val="00B01B8F"/>
    <w:rsid w:val="00B70AB6"/>
    <w:rsid w:val="00CE199A"/>
    <w:rsid w:val="00CE46F9"/>
    <w:rsid w:val="00E5325B"/>
    <w:rsid w:val="00E67204"/>
    <w:rsid w:val="00EC2E92"/>
    <w:rsid w:val="00F15C36"/>
    <w:rsid w:val="00F80FAC"/>
    <w:rsid w:val="00F8404D"/>
    <w:rsid w:val="00FF3A07"/>
    <w:rsid w:val="02E9442A"/>
    <w:rsid w:val="04505ADC"/>
    <w:rsid w:val="04926A46"/>
    <w:rsid w:val="05E024DD"/>
    <w:rsid w:val="0870766F"/>
    <w:rsid w:val="0A1043FA"/>
    <w:rsid w:val="0A43312F"/>
    <w:rsid w:val="0C5D2A5A"/>
    <w:rsid w:val="0FD700D6"/>
    <w:rsid w:val="138B7FE2"/>
    <w:rsid w:val="1A334CA4"/>
    <w:rsid w:val="1A931CF7"/>
    <w:rsid w:val="1D3312DB"/>
    <w:rsid w:val="1DE12F5B"/>
    <w:rsid w:val="1F0E36B0"/>
    <w:rsid w:val="1F3F5A27"/>
    <w:rsid w:val="225865B0"/>
    <w:rsid w:val="27466544"/>
    <w:rsid w:val="27A45639"/>
    <w:rsid w:val="36315AA1"/>
    <w:rsid w:val="36A840FC"/>
    <w:rsid w:val="38212C39"/>
    <w:rsid w:val="38560D43"/>
    <w:rsid w:val="3CDD79E1"/>
    <w:rsid w:val="3F371F73"/>
    <w:rsid w:val="3F462877"/>
    <w:rsid w:val="440A2C7D"/>
    <w:rsid w:val="4451117D"/>
    <w:rsid w:val="496C149C"/>
    <w:rsid w:val="4E95067A"/>
    <w:rsid w:val="54570DEC"/>
    <w:rsid w:val="54715C7D"/>
    <w:rsid w:val="56161731"/>
    <w:rsid w:val="5B214742"/>
    <w:rsid w:val="605E25AF"/>
    <w:rsid w:val="64974C4B"/>
    <w:rsid w:val="654D7E23"/>
    <w:rsid w:val="683F15BF"/>
    <w:rsid w:val="6C78312E"/>
    <w:rsid w:val="74240803"/>
    <w:rsid w:val="760806DD"/>
    <w:rsid w:val="766E0D6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First Indent"/>
    <w:basedOn w:val="6"/>
    <w:uiPriority w:val="0"/>
    <w:pPr>
      <w:keepLines w:val="0"/>
      <w:spacing w:after="0"/>
      <w:ind w:left="0" w:firstLine="200" w:firstLineChars="200"/>
    </w:pPr>
    <w:rPr>
      <w:rFonts w:ascii="Times New Roman" w:eastAsia="仿宋_GB2312"/>
      <w:snapToGrid/>
      <w:kern w:val="2"/>
      <w:sz w:val="28"/>
      <w:szCs w:val="21"/>
    </w:rPr>
  </w:style>
  <w:style w:type="paragraph" w:styleId="6">
    <w:name w:val="Body Text"/>
    <w:basedOn w:val="1"/>
    <w:uiPriority w:val="0"/>
    <w:pPr>
      <w:keepLines/>
      <w:spacing w:after="120"/>
      <w:ind w:left="720"/>
    </w:pPr>
    <w:rPr>
      <w:rFonts w:ascii="宋体" w:hAnsi="Times New Roman" w:eastAsia="宋体"/>
      <w:snapToGrid w:val="0"/>
      <w:kern w:val="0"/>
      <w:sz w:val="20"/>
      <w:szCs w:val="20"/>
    </w:rPr>
  </w:style>
  <w:style w:type="paragraph" w:styleId="7">
    <w:name w:val="Normal Indent"/>
    <w:basedOn w:val="1"/>
    <w:uiPriority w:val="0"/>
    <w:pPr>
      <w:ind w:firstLine="420" w:firstLineChars="200"/>
    </w:pPr>
  </w:style>
  <w:style w:type="paragraph" w:styleId="8">
    <w:name w:val="footer"/>
    <w:basedOn w:val="1"/>
    <w:link w:val="1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itle"/>
    <w:basedOn w:val="1"/>
    <w:next w:val="1"/>
    <w:qFormat/>
    <w:uiPriority w:val="0"/>
    <w:pPr>
      <w:spacing w:line="240" w:lineRule="auto"/>
      <w:jc w:val="center"/>
    </w:pPr>
    <w:rPr>
      <w:rFonts w:ascii="宋体" w:hAnsi="Times New Roman" w:eastAsia="宋体"/>
      <w:b/>
      <w:snapToGrid w:val="0"/>
      <w:kern w:val="0"/>
      <w:sz w:val="36"/>
      <w:szCs w:val="20"/>
    </w:rPr>
  </w:style>
  <w:style w:type="character" w:customStyle="1" w:styleId="13">
    <w:name w:val="标题 2 字符"/>
    <w:basedOn w:val="11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4">
    <w:name w:val="页眉 字符"/>
    <w:basedOn w:val="11"/>
    <w:link w:val="9"/>
    <w:qFormat/>
    <w:uiPriority w:val="0"/>
    <w:rPr>
      <w:kern w:val="2"/>
      <w:sz w:val="18"/>
      <w:szCs w:val="18"/>
    </w:rPr>
  </w:style>
  <w:style w:type="character" w:customStyle="1" w:styleId="15">
    <w:name w:val="页脚 字符"/>
    <w:basedOn w:val="11"/>
    <w:link w:val="8"/>
    <w:uiPriority w:val="0"/>
    <w:rPr>
      <w:kern w:val="2"/>
      <w:sz w:val="18"/>
      <w:szCs w:val="18"/>
    </w:rPr>
  </w:style>
  <w:style w:type="paragraph" w:customStyle="1" w:styleId="16">
    <w:name w:val="标准称谓"/>
    <w:next w:val="1"/>
    <w:uiPriority w:val="0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hAnsi="Times New Roman"/>
      <w:b/>
      <w:bCs/>
      <w:sz w:val="52"/>
      <w:szCs w:val="22"/>
      <w:lang w:val="en-US" w:eastAsia="zh-CN" w:bidi="ar-SA"/>
    </w:rPr>
  </w:style>
  <w:style w:type="paragraph" w:customStyle="1" w:styleId="17">
    <w:name w:val="表格首行"/>
    <w:basedOn w:val="1"/>
    <w:uiPriority w:val="0"/>
    <w:pPr>
      <w:spacing w:line="240" w:lineRule="auto"/>
      <w:jc w:val="center"/>
    </w:pPr>
    <w:rPr>
      <w:rFonts w:ascii="宋体" w:hAnsi="宋体" w:eastAsia="宋体"/>
      <w:sz w:val="21"/>
      <w:szCs w:val="24"/>
    </w:rPr>
  </w:style>
  <w:style w:type="paragraph" w:customStyle="1" w:styleId="18">
    <w:name w:val="小标题"/>
    <w:basedOn w:val="1"/>
    <w:next w:val="7"/>
    <w:uiPriority w:val="0"/>
    <w:pPr>
      <w:numPr>
        <w:ilvl w:val="0"/>
        <w:numId w:val="1"/>
      </w:numPr>
      <w:spacing w:after="156" w:afterLines="50" w:line="360" w:lineRule="auto"/>
      <w:jc w:val="both"/>
    </w:pPr>
    <w:rPr>
      <w:rFonts w:ascii="Times New Roman" w:hAnsi="Times New Roman" w:eastAsia="宋体"/>
      <w:b/>
      <w:sz w:val="21"/>
      <w:szCs w:val="24"/>
    </w:rPr>
  </w:style>
  <w:style w:type="paragraph" w:customStyle="1" w:styleId="19">
    <w:name w:val="表格正文"/>
    <w:basedOn w:val="1"/>
    <w:uiPriority w:val="0"/>
    <w:pPr>
      <w:tabs>
        <w:tab w:val="left" w:pos="360"/>
      </w:tabs>
      <w:snapToGrid w:val="0"/>
      <w:spacing w:line="300" w:lineRule="auto"/>
      <w:ind w:left="252" w:hanging="252"/>
      <w:jc w:val="both"/>
    </w:pPr>
    <w:rPr>
      <w:rFonts w:ascii="Times New Roman" w:hAnsi="Times New Roman" w:eastAsia="宋体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7</Pages>
  <Words>432</Words>
  <Characters>2464</Characters>
  <Lines>20</Lines>
  <Paragraphs>5</Paragraphs>
  <ScaleCrop>false</ScaleCrop>
  <LinksUpToDate>false</LinksUpToDate>
  <CharactersWithSpaces>2891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lixin</dc:creator>
  <cp:lastModifiedBy>lixin</cp:lastModifiedBy>
  <dcterms:modified xsi:type="dcterms:W3CDTF">2017-01-17T02:03:23Z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