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Equipo Cenabast – Contrato Acid Labs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8.0" w:type="dxa"/>
        <w:jc w:val="left"/>
        <w:tblInd w:w="-639.0" w:type="dxa"/>
        <w:tblLayout w:type="fixed"/>
        <w:tblLook w:val="0400"/>
      </w:tblPr>
      <w:tblGrid>
        <w:gridCol w:w="2570"/>
        <w:gridCol w:w="2259"/>
        <w:gridCol w:w="2261"/>
        <w:gridCol w:w="2406"/>
        <w:gridCol w:w="1282"/>
        <w:tblGridChange w:id="0">
          <w:tblGrid>
            <w:gridCol w:w="2570"/>
            <w:gridCol w:w="2259"/>
            <w:gridCol w:w="2261"/>
            <w:gridCol w:w="2406"/>
            <w:gridCol w:w="1282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Teléfono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Cecilia Gloria Venegas Castaño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Jefa Sección Transformación Digital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Jefa de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cvenegasc@cenabast.cl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225749945 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Claudio Soto Olivares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Gestor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Contraparte Técnica y Administración del Contrato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csotoo@cenabast.cl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Nicolas Mella Maldonado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Consultor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before="24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Contraparte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nmella@cenabast.cl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Álvaro Daniel Buzeta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Departamento Administración Y Finanzas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before="24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Finanzas (Aprobación Factura y Documentos Adicionales)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abuzeta@cenabast.cl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225748303 - Anexo 248303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Macarena Stuardo Valdivia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Jefa Sección Contabilidad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before="24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Contabilidad (Pago Factura)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mstuardo@cenabast.cl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225748230 - Anexo 248230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Equipo AcidLabs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639.0" w:type="dxa"/>
        <w:tblLayout w:type="fixed"/>
        <w:tblLook w:val="0400"/>
      </w:tblPr>
      <w:tblGrid>
        <w:gridCol w:w="1995"/>
        <w:gridCol w:w="2055"/>
        <w:gridCol w:w="1980"/>
        <w:gridCol w:w="2850"/>
        <w:gridCol w:w="1890"/>
        <w:tblGridChange w:id="0">
          <w:tblGrid>
            <w:gridCol w:w="1995"/>
            <w:gridCol w:w="2055"/>
            <w:gridCol w:w="1980"/>
            <w:gridCol w:w="2850"/>
            <w:gridCol w:w="1890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Maximiliano Picon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Escalamiento ante incumplimientos en el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maximiliano.picon@acidlabs.com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+5491161625610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Florencia Cerutti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del Contrato y control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florencia.cerutti@acidlabs.com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+5491137926452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Reyes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Ejecutivo Comercial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Contacto comercial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jose.reyes@acidlabs.com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Beltran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benjamin.beltran@acidlabs.com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+56966574792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Fabio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Contraparte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felipe.fabio@acidlabs.com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Dagne Alberto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Contabilidad y Finanzas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Contabilidad (Generación de facturas)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dagne.alberto@acidlabs.com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Leandro Cerván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Tesorería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Contabilidad (Gestión de pagos)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leandro.cervan@acidlabs.com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flzVfWeFUY4fuqsmsZ4RniW0jg==">CgMxLjA4AHIhMU5fZVF0QUZNUVBPbm5LcFU2Y2hVOWdEYlYxbGh6VzNG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2024-12-05T20:22:00Z</dcterms:created>
  <dc:creator>TI CENABAST</dc:creator>
</cp:coreProperties>
</file>