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t xml:space="preserve"/>
      </w:r>
    </w:p>
    <w:p>
      <w:pPr>
        <w:spacing w:after="300"/>
        <w:jc w:val="center"/>
      </w:pPr>
      <w:r>
        <w:rPr>
          <w:b/>
          <w:bCs/>
          <w:sz w:val="56"/>
          <w:szCs w:val="56"/>
        </w:rPr>
        <w:t xml:space="preserve">Investigación modelos de ML</w:t>
      </w:r>
    </w:p>
    <w:p>
      <w:pPr>
        <w:spacing w:after="500"/>
        <w:jc w:val="center"/>
      </w:pPr>
      <w:r>
        <w:rPr>
          <w:sz w:val="26"/>
          <w:szCs w:val="26"/>
        </w:rPr>
        <w:t xml:space="preserve">TI3002C – Etapa 5.1: Investigación de casos, indicadores y modelos de Machine Learning</w:t>
      </w:r>
    </w:p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Jaime Hernández González</w:t>
      </w:r>
    </w:p>
    <w:p>
      <w:pPr>
        <w:spacing w:after="500"/>
        <w:jc w:val="center"/>
      </w:pPr>
      <w:r>
        <w:rPr>
          <w:sz w:val="28"/>
          <w:szCs w:val="28"/>
        </w:rPr>
        <w:t xml:space="preserve">A00840312</w:t>
      </w:r>
    </w:p>
    <w:p>
      <w:pPr>
        <w:spacing w:after="120"/>
        <w:jc w:val="center"/>
      </w:pPr>
      <w:r>
        <w:rPr>
          <w:sz w:val="24"/>
          <w:szCs w:val="24"/>
        </w:rPr>
        <w:t xml:space="preserve">Equipo 6 – Nexxus Consulting</w:t>
      </w:r>
    </w:p>
    <w:p>
      <w:pPr>
        <w:spacing w:after="500"/>
        <w:jc w:val="center"/>
      </w:pPr>
      <w:r>
        <w:rPr>
          <w:sz w:val="24"/>
          <w:szCs w:val="24"/>
        </w:rPr>
        <w:t xml:space="preserve">Socio formador: DanuStore</w:t>
      </w:r>
    </w:p>
    <w:p>
      <w:pPr>
        <w:spacing w:after="120"/>
        <w:jc w:val="center"/>
      </w:pPr>
      <w:r>
        <w:rPr>
          <w:sz w:val="22"/>
          <w:szCs w:val="22"/>
        </w:rPr>
        <w:t xml:space="preserve">Analítica de datos y herramientas de inteligencia artificial (Gpo 601)</w:t>
      </w:r>
    </w:p>
    <w:p>
      <w:pPr>
        <w:spacing w:after="120"/>
        <w:jc w:val="center"/>
      </w:pPr>
      <w:r>
        <w:rPr>
          <w:sz w:val="22"/>
          <w:szCs w:val="22"/>
        </w:rPr>
        <w:t xml:space="preserve">Instituto Tecnológico y de Estudios Superiores de Monterrey, Campus Monterrey</w:t>
      </w:r>
    </w:p>
    <w:p>
      <w:pPr>
        <w:spacing w:after="120"/>
        <w:jc w:val="center"/>
      </w:pPr>
      <w:r>
        <w:rPr>
          <w:sz w:val="22"/>
          <w:szCs w:val="22"/>
        </w:rPr>
        <w:t xml:space="preserve">15 de octubre de 2026</w:t>
      </w:r>
    </w:p>
    <w:p>
      <w:r>
        <w:br w:type="page"/>
      </w:r>
    </w:p>
    <w:p>
      <w:pPr>
        <w:pStyle w:val="Heading1"/>
        <w:spacing w:after="80" w:before="200"/>
      </w:pPr>
      <w:r>
        <w:t xml:space="preserve">1. Introducción al problema</w:t>
      </w:r>
    </w:p>
    <w:p>
      <w:pPr>
        <w:spacing w:after="100"/>
        <w:jc w:val="both"/>
      </w:pPr>
      <w:r>
        <w:t xml:space="preserve">DanuStore es una empresa mexicana de venta de ropa con presencia en siete regiones. El reto asignado es de </w:t>
      </w:r>
      <w:r>
        <w:rPr>
          <w:b/>
          <w:bCs/>
        </w:rPr>
        <w:t xml:space="preserve">inventarios</w:t>
      </w:r>
      <w:r>
        <w:t xml:space="preserve">: la empresa planea su stock con un pronóstico propio (units_expected), y en las etapas anteriores encontré que ese pronóstico no responde a la demanda real. La base mensual tiene 21,840 registros (130 productos × 7 regiones × 24 meses, 2024–2025).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b/>
          <w:bCs/>
        </w:rPr>
        <w:t xml:space="preserve">Sobrepronóstico generalizado:</w:t>
      </w:r>
      <w:r>
        <w:t xml:space="preserve"> en 2024–2025 se vendió solo el </w:t>
      </w:r>
      <w:r>
        <w:rPr>
          <w:b/>
          <w:bCs/>
        </w:rPr>
        <w:t xml:space="preserve">17.0%</w:t>
      </w:r>
      <w:r>
        <w:t xml:space="preserve"> de las unidades esperadas. Como el stock se fija en cerca de </w:t>
      </w:r>
      <w:r>
        <w:rPr>
          <w:b/>
          <w:bCs/>
        </w:rPr>
        <w:t xml:space="preserve">1.1 veces la venta esperada del mes</w:t>
      </w:r>
      <w:r>
        <w:t xml:space="preserve">, la cobertura planeada es de unos </w:t>
      </w:r>
      <w:r>
        <w:rPr>
          <w:b/>
          <w:bCs/>
        </w:rPr>
        <w:t xml:space="preserve">34 días</w:t>
      </w:r>
      <w:r>
        <w:t xml:space="preserve">, pero con las ventas reales el inventario alcanza para </w:t>
      </w:r>
      <w:r>
        <w:rPr>
          <w:b/>
          <w:bCs/>
        </w:rPr>
        <w:t xml:space="preserve">~208 días</w:t>
      </w:r>
      <w:r>
        <w:t xml:space="preserve"> en promedio (de 113 días en CDMX a 478 en el Sureste).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b/>
          <w:bCs/>
        </w:rPr>
        <w:t xml:space="preserve">El pronóstico no sigue la tendencia ni la estacionalidad:</w:t>
      </w:r>
      <w:r>
        <w:t xml:space="preserve"> las unidades esperadas subieron de 2024 a 2025 (p &lt; 0.001) mientras las ventas no cambiaron (p = 0.799); las ventas varían por mes (F = 36.25, p &lt; 0.001; noviembre y diciembre ~22% arriba del mes promedio, febrero ~15% abajo), pero el pronóstico es prácticamente plano (F = 0.40, p = 0.958).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b/>
          <w:bCs/>
        </w:rPr>
        <w:t xml:space="preserve">La región manda:</w:t>
      </w:r>
      <w:r>
        <w:t xml:space="preserve"> la región explica el 88.7% de la variación del cumplimiento de ventas y el 68.6% de los días de cobertura (η², ANOVA).</w:t>
      </w:r>
    </w:p>
    <w:p>
      <w:pPr>
        <w:spacing w:after="100"/>
        <w:jc w:val="both"/>
      </w:pPr>
      <w:r>
        <w:t xml:space="preserve">El problema a resolver es </w:t>
      </w:r>
      <w:r>
        <w:rPr>
          <w:b/>
          <w:bCs/>
        </w:rPr>
        <w:t xml:space="preserve">pronosticar las unidades vendidas por producto, región y mes</w:t>
      </w:r>
      <w:r>
        <w:t xml:space="preserve"> con un modelo de Machine Learning que sustituya a units_expected, y convertir ese pronóstico en reglas de inventario (cobertura, reorden y redistribución entre regiones).</w:t>
      </w:r>
    </w:p>
    <w:p>
      <w:pPr>
        <w:pStyle w:val="Heading1"/>
        <w:spacing w:after="80" w:before="200"/>
      </w:pPr>
      <w:r>
        <w:t xml:space="preserve">2. Investigación de casos similares</w:t>
      </w:r>
    </w:p>
    <w:p>
      <w:pPr>
        <w:pStyle w:val="Heading2"/>
        <w:spacing w:after="80" w:before="120"/>
      </w:pPr>
      <w:r>
        <w:t xml:space="preserve">2.1 Caso 1: Myntra – pronóstico de demanda de artículos de moda (Singh et al., 2019)</w:t>
      </w:r>
    </w:p>
    <w:p>
      <w:pPr>
        <w:spacing w:after="100"/>
        <w:jc w:val="both"/>
      </w:pPr>
      <w:r>
        <w:rPr>
          <w:b/>
          <w:bCs/>
        </w:rPr>
        <w:t xml:space="preserve">Introducción del caso.</w:t>
      </w:r>
      <w:r>
        <w:t xml:space="preserve"> Myntra-Jabong, uno de los principales minoristas de moda en línea de la India, pronosticó la demanda de artículos nuevos con 6 a 8 meses de anticipación, porque las compras se deciden antes de conocer las ventas y un error genera sobrestock o faltantes en toda la temporada.</w:t>
      </w:r>
    </w:p>
    <w:p>
      <w:pPr>
        <w:spacing w:after="100"/>
        <w:jc w:val="both"/>
      </w:pPr>
      <w:r>
        <w:rPr>
          <w:b/>
          <w:bCs/>
        </w:rPr>
        <w:t xml:space="preserve">Variables utilizadas.</w:t>
      </w:r>
      <w:r>
        <w:t xml:space="preserve"> Atributos del artículo (marca, color, material, tipo de prenda), factores comerciales (descuento frente al promedio de la marca, visibilidad en la plataforma, días hacia y desde una promoción), variables derivadas (edad del estilo, tendencia, términos de Fourier de la semana del año, canibalización entre artículos similares) y rezagos de ventas de hasta 4 semanas.</w:t>
      </w:r>
    </w:p>
    <w:p>
      <w:pPr>
        <w:spacing w:after="100"/>
        <w:jc w:val="both"/>
      </w:pPr>
      <w:r>
        <w:rPr>
          <w:b/>
          <w:bCs/>
        </w:rPr>
        <w:t xml:space="preserve">Modelos y métrica de evaluación.</w:t>
      </w:r>
      <w:r>
        <w:t xml:space="preserve"> Compararon 13 modelos —Random Forest, Gradient Boosting (GBRT), LightGBM, CatBoost, XGBoost, perceptrón multicapa (MLP) y LSTM, entre otros— contra un modelo ingenuo (venta promedio del estilo). La métrica principal fue el </w:t>
      </w:r>
      <w:r>
        <w:rPr>
          <w:b/>
          <w:bCs/>
        </w:rPr>
        <w:t xml:space="preserve">wMAPE</w:t>
      </w:r>
      <w:r>
        <w:t xml:space="preserve"> (error porcentual absoluto ponderado, equivalente al WAPE), además de correlaciones de Pearson y Kendall entre lo pronosticado y lo vendido.</w:t>
      </w:r>
    </w:p>
    <w:p>
      <w:pPr>
        <w:spacing w:after="100"/>
        <w:jc w:val="both"/>
      </w:pPr>
      <w:r>
        <w:rPr>
          <w:b/>
          <w:bCs/>
        </w:rPr>
        <w:t xml:space="preserve">Resultados y beneficio para el negocio.</w:t>
      </w:r>
      <w:r>
        <w:t xml:space="preserve"> En camisas (16,409 artículos de prueba) el wMAPE por artículo-semana bajó de 0.97 con el modelo ingenuo a </w:t>
      </w:r>
      <w:r>
        <w:rPr>
          <w:b/>
          <w:bCs/>
        </w:rPr>
        <w:t xml:space="preserve">0.52 con XGBoost</w:t>
      </w:r>
      <w:r>
        <w:t xml:space="preserve">, y en calzado casual de 1.00 a 0.51; los modelos de árboles superaron a las redes neuronales. Al usar el modelo para asignar el presupuesto de compra de otoño-invierno 2018 en dos marcas de calzado, el </w:t>
      </w:r>
      <w:r>
        <w:rPr>
          <w:b/>
          <w:bCs/>
        </w:rPr>
        <w:t xml:space="preserve">sell-through a un mes mejoró 10% y 7%</w:t>
      </w:r>
      <w:r>
        <w:t xml:space="preserve"> año contra año.</w:t>
      </w:r>
    </w:p>
    <w:p>
      <w:pPr>
        <w:pStyle w:val="Heading2"/>
        <w:spacing w:after="80" w:before="120"/>
      </w:pPr>
      <w:r>
        <w:t xml:space="preserve">2.2 Caso 2: empresa mexicana de ropa deportiva – pronóstico y redistribución de inventario (Hasman, 2025)</w:t>
      </w:r>
    </w:p>
    <w:p>
      <w:pPr>
        <w:spacing w:after="100"/>
        <w:jc w:val="both"/>
      </w:pPr>
      <w:r>
        <w:rPr>
          <w:b/>
          <w:bCs/>
        </w:rPr>
        <w:t xml:space="preserve">Introducción del caso.</w:t>
      </w:r>
      <w:r>
        <w:t xml:space="preserve"> Tesis de maestría de la Universidad Torcuato Di Tella aplicada a una </w:t>
      </w:r>
      <w:r>
        <w:rPr>
          <w:b/>
          <w:bCs/>
        </w:rPr>
        <w:t xml:space="preserve">empresa mexicana de ropa deportiva</w:t>
      </w:r>
      <w:r>
        <w:t xml:space="preserve"> con una red de 22 tiendas. El problema: quiebres de stock en unas tiendas y excedentes en otras, muy parecido a lo que pasa en DanuStore entre regiones.</w:t>
      </w:r>
    </w:p>
    <w:p>
      <w:pPr>
        <w:spacing w:after="100"/>
        <w:jc w:val="both"/>
      </w:pPr>
      <w:r>
        <w:rPr>
          <w:b/>
          <w:bCs/>
        </w:rPr>
        <w:t xml:space="preserve">Variables utilizadas.</w:t>
      </w:r>
      <w:r>
        <w:t xml:space="preserve"> Ventas diarias por tienda, categoría, subcategoría y género del producto (ropa, calzado y accesorios), precios, inventario disponible por tienda y ubicación de las tiendas.</w:t>
      </w:r>
    </w:p>
    <w:p>
      <w:pPr>
        <w:spacing w:after="100"/>
        <w:jc w:val="both"/>
      </w:pPr>
      <w:r>
        <w:rPr>
          <w:b/>
          <w:bCs/>
        </w:rPr>
        <w:t xml:space="preserve">Modelos y métrica de evaluación.</w:t>
      </w:r>
      <w:r>
        <w:t xml:space="preserve"> Se usó </w:t>
      </w:r>
      <w:r>
        <w:rPr>
          <w:b/>
          <w:bCs/>
        </w:rPr>
        <w:t xml:space="preserve">Prophet</w:t>
      </w:r>
      <w:r>
        <w:t xml:space="preserve"> (modelo aditivo de tendencia + estacionalidad + eventos) para pronosticar la demanda de la siguiente quincena, y sus pronósticos alimentaron un modelo de </w:t>
      </w:r>
      <w:r>
        <w:rPr>
          <w:b/>
          <w:bCs/>
        </w:rPr>
        <w:t xml:space="preserve">programación lineal entera</w:t>
      </w:r>
      <w:r>
        <w:t xml:space="preserve"> que decide qué unidades transferir entre tiendas. Prophet se comparó contra KNN, XGBoost, SVM, Random Forest y un modelo ingenuo estacional con el </w:t>
      </w:r>
      <w:r>
        <w:rPr>
          <w:b/>
          <w:bCs/>
        </w:rPr>
        <w:t xml:space="preserve">MAPE</w:t>
      </w:r>
      <w:r>
        <w:t xml:space="preserve">.</w:t>
      </w:r>
    </w:p>
    <w:p>
      <w:pPr>
        <w:spacing w:after="100"/>
        <w:jc w:val="both"/>
      </w:pPr>
      <w:r>
        <w:rPr>
          <w:b/>
          <w:bCs/>
        </w:rPr>
        <w:t xml:space="preserve">Resultados y beneficio para el negocio.</w:t>
      </w:r>
      <w:r>
        <w:t xml:space="preserve"> En una evaluación retrospectiva sobre ocho quincenas de inicios de 2022, la redistribución propuesta redujo los </w:t>
      </w:r>
      <w:r>
        <w:rPr>
          <w:b/>
          <w:bCs/>
        </w:rPr>
        <w:t xml:space="preserve">quiebres de stock en aproximadamente 29%</w:t>
      </w:r>
      <w:r>
        <w:t xml:space="preserve">, moviendo en promedio solo el </w:t>
      </w:r>
      <w:r>
        <w:rPr>
          <w:b/>
          <w:bCs/>
        </w:rPr>
        <w:t xml:space="preserve">4.9% del stock</w:t>
      </w:r>
      <w:r>
        <w:t xml:space="preserve"> quincenal. Según el repositorio, la empresa comenzó a aplicar las redistribuciones sugeridas.</w:t>
      </w:r>
    </w:p>
    <w:p>
      <w:pPr>
        <w:pStyle w:val="Heading1"/>
        <w:spacing w:after="80" w:before="200"/>
      </w:pPr>
      <w:r>
        <w:t xml:space="preserve">3. Indicadores y criterios de referencia de la industria</w:t>
      </w:r>
    </w:p>
    <w:p>
      <w:pPr>
        <w:spacing w:after="100"/>
        <w:jc w:val="both"/>
      </w:pPr>
      <w:r>
        <w:t xml:space="preserve">Indicadores del retail de moda, su referencia en la industria y su valor en DanuStore (en unidades, base mensual 2024–2025). Los umbrales provienen de guías sectoriales, por lo que son </w:t>
      </w:r>
      <w:r>
        <w:rPr>
          <w:b/>
          <w:bCs/>
        </w:rPr>
        <w:t xml:space="preserve">referencias orientativas</w:t>
      </w:r>
      <w:r>
        <w:t xml:space="preserve">, no normas.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2000"/>
        <w:gridCol w:w="2200"/>
        <w:gridCol w:w="1520"/>
      </w:tblGrid>
      <w:tr>
        <w:trPr>
          <w:cantSplit/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Fórmula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Referencia en moda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DanuStore</w:t>
            </w:r>
          </w:p>
        </w:tc>
        <w:tc>
          <w:tcPr>
            <w:tcW w:type="dxa" w:w="1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Fuente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Rotación de inventario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Ventas ÷ inventario promedio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4 a 6 vueltas/año en ropa; 3 a 6 en marcas de moda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≈ 1.8 vueltas/año (en unidades)</w:t>
            </w:r>
          </w:p>
        </w:tc>
        <w:tc>
          <w:tcPr>
            <w:tcW w:type="dxa" w:w="1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SPS Commerce (s. f.); Moskovic (2026)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Días de inventario (DSI) / cobertura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Inventario ÷ venta diaria = 365 ÷ rotación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61 a 91 días (4 a 6 vueltas); 60 a 90 días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Real ≈ 208 días (113 CDMX – 478 Sureste); planeada ≈ 34 días</w:t>
            </w:r>
          </w:p>
        </w:tc>
        <w:tc>
          <w:tcPr>
            <w:tcW w:type="dxa" w:w="1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eightx (s. f.); Moskovic (2026)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Semanas de suministro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Inventario ÷ venta semanal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Menor que las semanas que restan de la temporada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≈ 30 semanas</w:t>
            </w:r>
          </w:p>
        </w:tc>
        <w:tc>
          <w:tcPr>
            <w:tcW w:type="dxa" w:w="1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SPS Commerce (s. f.)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Sell-through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Unidades vendidas ÷ unidades disponibles × 100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60% a 80% al cierre de temporada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≈ 15% del stock al mes</w:t>
            </w:r>
          </w:p>
        </w:tc>
        <w:tc>
          <w:tcPr>
            <w:tcW w:type="dxa" w:w="1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SPS Commerce (s. f.)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Error y sesgo del pronóstico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WAPE = Σ|y − ŷ| ÷ Σy; sesgo = Σ(ŷ − y) ÷ Σy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wMAPE 0.51–0.60 con XGBoost vs. ~1.0 del ingenuo (Myntra)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units_expected: WAPE ≈ 489%, sesgo +489% (siempre sobrepronostica)</w:t>
            </w:r>
          </w:p>
        </w:tc>
        <w:tc>
          <w:tcPr>
            <w:tcW w:type="dxa" w:w="1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Singh et al. (2019)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Desabasto (stockout rate)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Artículos agotados ÷ artículos que debían estar disponibles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≈ 8% promedio mundial (consumo masivo, no moda)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No medible: el stock mensual mínimo es 120 unidades y no hay registro de demanda no atendida</w:t>
            </w:r>
          </w:p>
        </w:tc>
        <w:tc>
          <w:tcPr>
            <w:tcW w:type="dxa" w:w="1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Gruen et al. (2002)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Inventario de seguridad y punto de reorden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SS = z·σ·√L;  ROP = d̂·L + 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z = 1.65 para 95% de nivel de servicio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Requiere el tiempo de reposición (L), que no está en la base</w:t>
            </w:r>
          </w:p>
        </w:tc>
        <w:tc>
          <w:tcPr>
            <w:tcW w:type="dxa" w:w="1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King (2011)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GMROI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Margen bruto ÷ inventario promedio al costo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2 a 3 en moda; &lt; 1 destruye margen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No calculable: no hay costo unitario</w:t>
            </w:r>
          </w:p>
        </w:tc>
        <w:tc>
          <w:tcPr>
            <w:tcW w:type="dxa" w:w="1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eightx (s. f.)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b/>
          <w:bCs/>
        </w:rPr>
        <w:t xml:space="preserve">Estacionalidad en México.</w:t>
      </w:r>
      <w:r>
        <w:t xml:space="preserve"> Los picos comerciales de ropa son </w:t>
      </w:r>
      <w:r>
        <w:rPr>
          <w:b/>
          <w:bCs/>
        </w:rPr>
        <w:t xml:space="preserve">Hot Sale</w:t>
      </w:r>
      <w:r>
        <w:t xml:space="preserve"> (finales de mayo–inicio de junio; 28% de los compradores encuestados adquirió moda en 2025), </w:t>
      </w:r>
      <w:r>
        <w:rPr>
          <w:b/>
          <w:bCs/>
        </w:rPr>
        <w:t xml:space="preserve">regreso a clases</w:t>
      </w:r>
      <w:r>
        <w:t xml:space="preserve"> (agosto), </w:t>
      </w:r>
      <w:r>
        <w:rPr>
          <w:b/>
          <w:bCs/>
        </w:rPr>
        <w:t xml:space="preserve">El Buen Fin</w:t>
      </w:r>
      <w:r>
        <w:t xml:space="preserve"> (noviembre; moda entre las cinco categorías principales) y la </w:t>
      </w:r>
      <w:r>
        <w:rPr>
          <w:b/>
          <w:bCs/>
        </w:rPr>
        <w:t xml:space="preserve">temporada decembrina</w:t>
      </w:r>
      <w:r>
        <w:t xml:space="preserve">, donde ropa y calzado están entre los productos más relevantes (AMVO, 2025a, 2025b; Concanaco Servytur, 2024a, 2024b). Esto coincide con los datos de DanuStore, cuyas ventas suben ~22% en noviembre y diciembre, mientras su pronóstico varía menos de ±1.2% entre meses.</w:t>
      </w:r>
    </w:p>
    <w:p>
      <w:pPr>
        <w:spacing w:after="100"/>
        <w:jc w:val="both"/>
      </w:pPr>
      <w:r>
        <w:rPr>
          <w:b/>
          <w:bCs/>
        </w:rPr>
        <w:t xml:space="preserve">Lectura.</w:t>
      </w:r>
      <w:r>
        <w:t xml:space="preserve"> Con cualquiera de las referencias, DanuStore tiene </w:t>
      </w:r>
      <w:r>
        <w:rPr>
          <w:b/>
          <w:bCs/>
        </w:rPr>
        <w:t xml:space="preserve">sobrestock</w:t>
      </w:r>
      <w:r>
        <w:t xml:space="preserve">: su rotación (≈1.8) está muy por debajo de 4–6 vueltas y su cobertura real triplica el rango sano de 60–90 días. El origen no es el stock frente al plan (34 días planeados, dentro de lo razonable), sino el </w:t>
      </w:r>
      <w:r>
        <w:rPr>
          <w:b/>
          <w:bCs/>
        </w:rPr>
        <w:t xml:space="preserve">pronóstico</w:t>
      </w:r>
      <w:r>
        <w:t xml:space="preserve">, que espera casi seis veces lo que se vende.</w:t>
      </w:r>
    </w:p>
    <w:p>
      <w:pPr>
        <w:pStyle w:val="Heading1"/>
        <w:spacing w:after="80" w:before="200"/>
      </w:pPr>
      <w:r>
        <w:t xml:space="preserve">4. Modelos propuestos</w:t>
      </w:r>
    </w:p>
    <w:p>
      <w:pPr>
        <w:spacing w:after="100"/>
        <w:jc w:val="both"/>
      </w:pPr>
      <w:r>
        <w:rPr>
          <w:b/>
          <w:bCs/>
        </w:rPr>
        <w:t xml:space="preserve">Planteamiento común.</w:t>
      </w:r>
      <w:r>
        <w:t xml:space="preserve"> La variable objetivo es y(p,r,t) = </w:t>
      </w:r>
      <w:r>
        <w:rPr>
          <w:b/>
          <w:bCs/>
        </w:rPr>
        <w:t xml:space="preserve">units_sold</w:t>
      </w:r>
      <w:r>
        <w:t xml:space="preserve"> del producto p en la región r y el mes t. Se entrena un modelo </w:t>
      </w:r>
      <w:r>
        <w:rPr>
          <w:b/>
          <w:bCs/>
        </w:rPr>
        <w:t xml:space="preserve">global</w:t>
      </w:r>
      <w:r>
        <w:t xml:space="preserve"> con las 910 series producto-región, como los ganadores de la competencia M5 (Makridakis et al., 2022). Predictores: region, category, subcategory, producto, month, year, banderas de Hot Sale, regreso a clases, Buen Fin y diciembre, static</w:t>
      </w:r>
      <w:r>
        <w:rPr>
          <w:i/>
          <w:iCs/>
        </w:rPr>
        <w:t xml:space="preserve">price, rezagos de ventas (t−1, t−2, t−3 y t−12) y promedio móvil de los 3 meses anteriores. Se **excluyen** Ventas</w:t>
      </w:r>
      <w:r>
        <w:t xml:space="preserve">Acumuladas</w:t>
      </w:r>
      <w:r>
        <w:rPr>
          <w:i/>
          <w:iCs/>
        </w:rPr>
        <w:t xml:space="preserve">Mensual, Venta</w:t>
      </w:r>
      <w:r>
        <w:t xml:space="preserve">Promedio</w:t>
      </w:r>
      <w:r>
        <w:rPr>
          <w:i/>
          <w:iCs/>
        </w:rPr>
        <w:t xml:space="preserve">Diaria, Cumplimiento</w:t>
      </w:r>
      <w:r>
        <w:t xml:space="preserve">Venta</w:t>
      </w:r>
      <w:r>
        <w:rPr>
          <w:i/>
          <w:iCs/>
        </w:rPr>
        <w:t xml:space="preserve">Esperada, Dias</w:t>
      </w:r>
      <w:r>
        <w:t xml:space="preserve">Cobertura</w:t>
      </w:r>
      <w:r>
        <w:rPr>
          <w:i/>
          <w:iCs/>
        </w:rPr>
        <w:t xml:space="preserve">Inventario, sales</w:t>
      </w:r>
      <w:r>
        <w:t xml:space="preserve">amount y Stock_Restante del mismo mes, porque se calculan con las ventas a pronosticar (fuga de información).</w:t>
      </w:r>
    </w:p>
    <w:p>
      <w:pPr>
        <w:pStyle w:val="Heading2"/>
        <w:spacing w:after="80" w:before="120"/>
      </w:pPr>
      <w:r>
        <w:t xml:space="preserve">4.1 Modelo 1: XGBoost (Gradient Boosting de árboles)</w:t>
      </w:r>
    </w:p>
    <w:p>
      <w:pPr>
        <w:spacing w:after="100"/>
        <w:jc w:val="both"/>
      </w:pPr>
      <w:r>
        <w:t xml:space="preserve">Construye árboles de decisión en secuencia; cada árbol nuevo corrige los errores de los anteriores, y la predicción es la suma de todos los árboles. Minimiza una función de pérdida más una penalización por complejidad (Chen y Guestrin, 2016):</w:t>
      </w:r>
    </w:p>
    <w:p>
      <w:pPr>
        <w:spacing w:after="80" w:before="6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ŷᵢ = Σₖ₌₁ᴷ fₖ(xᵢ)          ℒ = Σᵢ l(yᵢ, ŷᵢ) + Σₖ Ω(fₖ),     Ω(f) = γT + ½ λ‖w‖²</w:t>
      </w:r>
    </w:p>
    <w:p>
      <w:pPr>
        <w:spacing w:after="100"/>
        <w:jc w:val="both"/>
      </w:pPr>
      <w:r>
        <w:t xml:space="preserve">donde T es el número de hojas del árbol, w los valores de las hojas, y γ y λ controlan el sobreajuste. Es el modelo que ganó en Myntra y el enfoque dominante en M5. </w:t>
      </w:r>
      <w:r>
        <w:rPr>
          <w:b/>
          <w:bCs/>
        </w:rPr>
        <w:t xml:space="preserve">Ventajas:</w:t>
      </w:r>
      <w:r>
        <w:t xml:space="preserve"> captura interacciones región × mes × categoría y relaciones no lineales con el precio. </w:t>
      </w:r>
      <w:r>
        <w:rPr>
          <w:b/>
          <w:bCs/>
        </w:rPr>
        <w:t xml:space="preserve">Limitantes:</w:t>
      </w:r>
      <w:r>
        <w:t xml:space="preserve"> depende de hiperparámetros (profundidad, tasa de aprendizaje, número de árboles), puede sobreajustar con pocas observaciones por serie y no extrapola tendencias fuera del rango visto.</w:t>
      </w:r>
    </w:p>
    <w:p>
      <w:pPr>
        <w:pStyle w:val="Heading2"/>
        <w:spacing w:after="80" w:before="120"/>
      </w:pPr>
      <w:r>
        <w:t xml:space="preserve">4.2 Modelo 2: Random Forest</w:t>
      </w:r>
    </w:p>
    <w:p>
      <w:pPr>
        <w:spacing w:after="100"/>
        <w:jc w:val="both"/>
      </w:pPr>
      <w:r>
        <w:t xml:space="preserve">Entrena muchos árboles independientes, cada uno con una muestra aleatoria de los registros y de las variables, y promedia sus resultados (Breiman, 2001):</w:t>
      </w:r>
    </w:p>
    <w:p>
      <w:pPr>
        <w:spacing w:after="80" w:before="6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ŷ = (1/B) Σ_b₌₁ᴮ T_b(x)</w:t>
      </w:r>
    </w:p>
    <w:p>
      <w:pPr>
        <w:spacing w:after="100"/>
        <w:jc w:val="both"/>
      </w:pPr>
      <w:r>
        <w:t xml:space="preserve">donde B es el número de árboles. </w:t>
      </w:r>
      <w:r>
        <w:rPr>
          <w:b/>
          <w:bCs/>
        </w:rPr>
        <w:t xml:space="preserve">Ventajas:</w:t>
      </w:r>
      <w:r>
        <w:t xml:space="preserve"> es robusto a valores atípicos, necesita poco ajuste de hiperparámetros, es fácil de explicar con la importancia de variables y fue competitivo en Myntra. </w:t>
      </w:r>
      <w:r>
        <w:rPr>
          <w:b/>
          <w:bCs/>
        </w:rPr>
        <w:t xml:space="preserve">Limitantes:</w:t>
      </w:r>
      <w:r>
        <w:t xml:space="preserve"> tiende a suavizar los picos (por ejemplo, noviembre y diciembre), tampoco extrapola tendencias y suele ser algo menos preciso que el gradient boosting en paneles grandes.</w:t>
      </w:r>
    </w:p>
    <w:p>
      <w:pPr>
        <w:pStyle w:val="Heading2"/>
        <w:spacing w:after="80" w:before="120"/>
      </w:pPr>
      <w:r>
        <w:t xml:space="preserve">4.3 Validación y métricas</w:t>
      </w:r>
    </w:p>
    <w:p>
      <w:pPr>
        <w:spacing w:after="100"/>
        <w:jc w:val="both"/>
      </w:pPr>
      <w:r>
        <w:t xml:space="preserve">Se usará </w:t>
      </w:r>
      <w:r>
        <w:rPr>
          <w:b/>
          <w:bCs/>
        </w:rPr>
        <w:t xml:space="preserve">validación temporal</w:t>
      </w:r>
      <w:r>
        <w:t xml:space="preserve">: entrenar con enero de 2024 a junio de 2025 y probar con julio a diciembre de 2025, sin particiones aleatorias (Hyndman y Athanasopoulos, 2021). Ambos modelos se compararán contra dos referencias: (1) </w:t>
      </w:r>
      <w:r>
        <w:rPr>
          <w:b/>
          <w:bCs/>
        </w:rPr>
        <w:t xml:space="preserve">units_expected</w:t>
      </w:r>
      <w:r>
        <w:t xml:space="preserve">, el pronóstico actual de DanuStore, y (2) un </w:t>
      </w:r>
      <w:r>
        <w:rPr>
          <w:b/>
          <w:bCs/>
        </w:rPr>
        <w:t xml:space="preserve">ingenuo estacional</w:t>
      </w:r>
      <w:r>
        <w:t xml:space="preserve"> (ŷ = ventas del mismo mes del año anterior). Métricas:</w:t>
      </w:r>
    </w:p>
    <w:p>
      <w:pPr>
        <w:spacing w:after="80" w:before="6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WAPE = Σ|yᵢ − ŷᵢ| ÷ Σyᵢ        MAE = (1/n) Σ|yᵢ − ŷᵢ|        RMSE = √[(1/n) Σ(yᵢ − ŷᵢ)²]        Sesgo = Σ(ŷᵢ − yᵢ) ÷ Σyᵢ</w:t>
      </w:r>
    </w:p>
    <w:p>
      <w:pPr>
        <w:spacing w:after="100"/>
        <w:jc w:val="both"/>
      </w:pPr>
      <w:r>
        <w:t xml:space="preserve">El </w:t>
      </w:r>
      <w:r>
        <w:rPr>
          <w:b/>
          <w:bCs/>
        </w:rPr>
        <w:t xml:space="preserve">WAPE</w:t>
      </w:r>
      <w:r>
        <w:t xml:space="preserve"> será la métrica principal porque pondera por volumen y es la que usó Myntra; el </w:t>
      </w:r>
      <w:r>
        <w:rPr>
          <w:b/>
          <w:bCs/>
        </w:rPr>
        <w:t xml:space="preserve">sesgo</w:t>
      </w:r>
      <w:r>
        <w:t xml:space="preserve"> es clave porque el problema de DanuStore es sobrepronosticar (units_expected tiene WAPE ≈ 489%).</w:t>
      </w:r>
    </w:p>
    <w:p>
      <w:pPr>
        <w:pStyle w:val="Heading2"/>
        <w:spacing w:after="80" w:before="120"/>
      </w:pPr>
      <w:r>
        <w:t xml:space="preserve">4.4 Del pronóstico a decisiones de inventario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b/>
          <w:bCs/>
        </w:rPr>
        <w:t xml:space="preserve">Cobertura proyectada</w:t>
      </w:r>
      <w:r>
        <w:t xml:space="preserve"> = stock ÷ (ŷ ÷ días del mes). Si supera ~90 días: detener compras, redistribuir a regiones con menor cobertura (como en Hasman, 2025) o planear promoción. El umbral debe calibrarse por región.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b/>
          <w:bCs/>
        </w:rPr>
        <w:t xml:space="preserve">Reorden:</w:t>
      </w:r>
      <w:r>
        <w:t xml:space="preserve"> ROP = d̂·L + SS, con SS = z·σ·√L, usando como σ el error (RMSE) del modelo en validación y z = 1.65 para 95% de servicio (King, 2011). Este flujo pronóstico → cobertura → seguridad → reorden también se aplicó en una pyme de autopartes con 84% de sus SKU en sobreinventario (Chiriboga Terán, 2026).</w:t>
      </w:r>
    </w:p>
    <w:p>
      <w:pPr>
        <w:pStyle w:val="Heading2"/>
        <w:spacing w:after="80" w:before="120"/>
      </w:pPr>
      <w:r>
        <w:t xml:space="preserve">4.5 Conclusiones y limitantes</w:t>
      </w:r>
    </w:p>
    <w:p>
      <w:pPr>
        <w:spacing w:after="100"/>
        <w:jc w:val="both"/>
      </w:pPr>
      <w:r>
        <w:rPr>
          <w:b/>
          <w:bCs/>
        </w:rPr>
        <w:t xml:space="preserve">XGBoost</w:t>
      </w:r>
      <w:r>
        <w:t xml:space="preserve"> es el modelo principal recomendado, por su desempeño en los casos revisados y porque captura las diferencias por región y mes que el pronóstico actual ignora; </w:t>
      </w:r>
      <w:r>
        <w:rPr>
          <w:b/>
          <w:bCs/>
        </w:rPr>
        <w:t xml:space="preserve">Random Forest</w:t>
      </w:r>
      <w:r>
        <w:t xml:space="preserve"> se usará como modelo de contraste, más estable y fácil de interpretar. Limitantes: (1) solo hay 24 meses, dos observaciones de cada mes; (2) las ventas son solo de clientes registrados, así que se pronostica la demanda de ese segmento y la cobertura real puede estar sobreestimada; (3) faltan demanda no atendida, tiempos de reposición y costos para el inventario de seguridad y el GMROI; y (4) no hay datos de promociones, por lo que los eventos se agregan como banderas de calendario.</w:t>
      </w:r>
    </w:p>
    <w:p>
      <w:r>
        <w:br w:type="page"/>
      </w:r>
    </w:p>
    <w:p>
      <w:pPr>
        <w:pStyle w:val="Heading1"/>
        <w:spacing w:after="80" w:before="200"/>
      </w:pPr>
      <w:r>
        <w:t xml:space="preserve">5. Bibliografía</w:t>
      </w:r>
    </w:p>
    <w:p>
      <w:pPr>
        <w:spacing w:after="80"/>
        <w:ind w:left="720" w:hanging="720"/>
      </w:pPr>
      <w:r>
        <w:t xml:space="preserve">Asociación Mexicana de Venta Online. (2025a). </w:t>
      </w:r>
      <w:r>
        <w:rPr>
          <w:i/>
          <w:iCs/>
        </w:rPr>
        <w:t xml:space="preserve">Resultados El Buen Fin 2025</w:t>
      </w:r>
      <w:r>
        <w:t xml:space="preserve"> [Reporte, versión pública]. https://8982035.fs1.hubspotusercontent-na1.net/hubfs/8982035/AMVO</w:t>
      </w:r>
      <w:r>
        <w:rPr>
          <w:i/>
          <w:iCs/>
        </w:rPr>
        <w:t xml:space="preserve">Resultados%20El%20Buen%20Fin%202025</w:t>
      </w:r>
      <w:r>
        <w:t xml:space="preserve">P%C3%BAblica-Dec-12-2025-12-26-03-0627-AM.pdf</w:t>
      </w:r>
    </w:p>
    <w:p>
      <w:pPr>
        <w:spacing w:after="80"/>
        <w:ind w:left="720" w:hanging="720"/>
      </w:pPr>
      <w:r>
        <w:t xml:space="preserve">Asociación Mexicana de Venta Online. (2025b). </w:t>
      </w:r>
      <w:r>
        <w:rPr>
          <w:i/>
          <w:iCs/>
        </w:rPr>
        <w:t xml:space="preserve">Resultados HOT SALE 2025</w:t>
      </w:r>
      <w:r>
        <w:t xml:space="preserve"> [Reporte, versión pública]. https://8982035.fs1.hubspotusercontent-na1.net/hubfs/8982035/AMVO</w:t>
      </w:r>
      <w:r>
        <w:rPr>
          <w:i/>
          <w:iCs/>
        </w:rPr>
        <w:t xml:space="preserve">Resultados%20HOT%20SALE%202025</w:t>
      </w:r>
      <w:r>
        <w:t xml:space="preserve">P%C3%BAblica.pdf</w:t>
      </w:r>
    </w:p>
    <w:p>
      <w:pPr>
        <w:spacing w:after="80"/>
        <w:ind w:left="720" w:hanging="720"/>
      </w:pPr>
      <w:r>
        <w:t xml:space="preserve">Breiman, L. (2001). Random forests. </w:t>
      </w:r>
      <w:r>
        <w:rPr>
          <w:i/>
          <w:iCs/>
        </w:rPr>
        <w:t xml:space="preserve">Machine Learning, 45</w:t>
      </w:r>
      <w:r>
        <w:t xml:space="preserve">(1), 5–32. https://doi.org/10.1023/A:1010933404324</w:t>
      </w:r>
    </w:p>
    <w:p>
      <w:pPr>
        <w:spacing w:after="80"/>
        <w:ind w:left="720" w:hanging="720"/>
      </w:pPr>
      <w:r>
        <w:t xml:space="preserve">Chen, T., &amp; Guestrin, C. (2016). XGBoost: A scalable tree boosting system. En </w:t>
      </w:r>
      <w:r>
        <w:rPr>
          <w:i/>
          <w:iCs/>
        </w:rPr>
        <w:t xml:space="preserve">Proceedings of the 22nd ACM SIGKDD International Conference on Knowledge Discovery and Data Mining</w:t>
      </w:r>
      <w:r>
        <w:t xml:space="preserve"> (pp. 785–794). ACM. https://doi.org/10.1145/2939672.2939785</w:t>
      </w:r>
    </w:p>
    <w:p>
      <w:pPr>
        <w:spacing w:after="80"/>
        <w:ind w:left="720" w:hanging="720"/>
      </w:pPr>
      <w:r>
        <w:t xml:space="preserve">Chiriboga Terán, J. M. (2026). </w:t>
      </w:r>
      <w:r>
        <w:rPr>
          <w:i/>
          <w:iCs/>
        </w:rPr>
        <w:t xml:space="preserve">SmartStock AI: Prototipo de soporte a la toma de decisiones basado en inteligencia artificial para la optimización de inventarios y pronóstico de demanda en una empresa importadora de autopartes en Ecuador</w:t>
      </w:r>
      <w:r>
        <w:t xml:space="preserve"> [Tesis de maestría, Universidad de Las Américas]. https://dspace.udla.edu.ec/handle/33000/19597</w:t>
      </w:r>
    </w:p>
    <w:p>
      <w:pPr>
        <w:spacing w:after="80"/>
        <w:ind w:left="720" w:hanging="720"/>
      </w:pPr>
      <w:r>
        <w:t xml:space="preserve">Confederación de Cámaras Nacionales de Comercio, Servicios y Turismo. (2024a). </w:t>
      </w:r>
      <w:r>
        <w:rPr>
          <w:i/>
          <w:iCs/>
        </w:rPr>
        <w:t xml:space="preserve">Posadas, Navidad y Año Nuevo dejarán una derrama económica de 560,800 millones de pesos</w:t>
      </w:r>
      <w:r>
        <w:t xml:space="preserve">. https://mail.concanaco.com.mx/prensa/comunicados/posadas-navidad-y-ano-nuevo-dejaran-una-derrama-economica-de-560-800-millones-de-pesos-confederacion-nacional-de-camaras-de-comercio</w:t>
      </w:r>
    </w:p>
    <w:p>
      <w:pPr>
        <w:spacing w:after="80"/>
        <w:ind w:left="720" w:hanging="720"/>
      </w:pPr>
      <w:r>
        <w:t xml:space="preserve">Confederación de Cámaras Nacionales de Comercio, Servicios y Turismo. (2024b). </w:t>
      </w:r>
      <w:r>
        <w:rPr>
          <w:i/>
          <w:iCs/>
        </w:rPr>
        <w:t xml:space="preserve">Regreso a clases dejará derrama económica de 125 mil millones de pesos</w:t>
      </w:r>
      <w:r>
        <w:t xml:space="preserve">. https://mail.concanaco.com.mx/prensa/comunicados/regreso-a-clases-dejara-derrama-economica-de-125-mil-millones-de-pesos</w:t>
      </w:r>
    </w:p>
    <w:p>
      <w:pPr>
        <w:spacing w:after="80"/>
        <w:ind w:left="720" w:hanging="720"/>
      </w:pPr>
      <w:r>
        <w:t xml:space="preserve">eightx. (s. f.). </w:t>
      </w:r>
      <w:r>
        <w:rPr>
          <w:i/>
          <w:iCs/>
        </w:rPr>
        <w:t xml:space="preserve">How to calculate your ideal inventory investment</w:t>
      </w:r>
      <w:r>
        <w:t xml:space="preserve">. https://eightx.co/blog/ideal-inventory-investment</w:t>
      </w:r>
    </w:p>
    <w:p>
      <w:pPr>
        <w:spacing w:after="80"/>
        <w:ind w:left="720" w:hanging="720"/>
      </w:pPr>
      <w:r>
        <w:t xml:space="preserve">Gruen, T. W., Corsten, D., &amp; Bharadwaj, S. (2002). </w:t>
      </w:r>
      <w:r>
        <w:rPr>
          <w:i/>
          <w:iCs/>
        </w:rPr>
        <w:t xml:space="preserve">Retail out-of-stocks: A worldwide examination of causes, rates, and consumer responses</w:t>
      </w:r>
      <w:r>
        <w:t xml:space="preserve">. Grocery Manufacturers of America.</w:t>
      </w:r>
    </w:p>
    <w:p>
      <w:pPr>
        <w:spacing w:after="80"/>
        <w:ind w:left="720" w:hanging="720"/>
      </w:pPr>
      <w:r>
        <w:t xml:space="preserve">Hasman, A. E. (2025). </w:t>
      </w:r>
      <w:r>
        <w:rPr>
          <w:i/>
          <w:iCs/>
        </w:rPr>
        <w:t xml:space="preserve">Modelo de pronóstico de demanda y redistribución óptima del inventario</w:t>
      </w:r>
      <w:r>
        <w:t xml:space="preserve"> [Tesis de maestría, Universidad Torcuato Di Tella]. https://repositorio.utdt.edu/handle/20.500.13098/13736</w:t>
      </w:r>
    </w:p>
    <w:p>
      <w:pPr>
        <w:spacing w:after="80"/>
        <w:ind w:left="720" w:hanging="720"/>
      </w:pPr>
      <w:r>
        <w:t xml:space="preserve">Hyndman, R. J., &amp; Athanasopoulos, G. (2021). </w:t>
      </w:r>
      <w:r>
        <w:rPr>
          <w:i/>
          <w:iCs/>
        </w:rPr>
        <w:t xml:space="preserve">Forecasting: Principles and practice</w:t>
      </w:r>
      <w:r>
        <w:t xml:space="preserve"> (3.ª ed.). OTexts. https://otexts.com/fpp3/</w:t>
      </w:r>
    </w:p>
    <w:p>
      <w:pPr>
        <w:spacing w:after="80"/>
        <w:ind w:left="720" w:hanging="720"/>
      </w:pPr>
      <w:r>
        <w:t xml:space="preserve">King, P. L. (2011). Crack the code: Understanding safety stock and mastering its equations. </w:t>
      </w:r>
      <w:r>
        <w:rPr>
          <w:i/>
          <w:iCs/>
        </w:rPr>
        <w:t xml:space="preserve">APICS Magazine</w:t>
      </w:r>
      <w:r>
        <w:t xml:space="preserve">, julio/agosto, 33–36. https://web.mit.edu/course/2/2.810/www/files/readings/King_SafetyStock.pdf</w:t>
      </w:r>
    </w:p>
    <w:p>
      <w:pPr>
        <w:spacing w:after="80"/>
        <w:ind w:left="720" w:hanging="720"/>
      </w:pPr>
      <w:r>
        <w:t xml:space="preserve">Makridakis, S., Spiliotis, E., &amp; Assimakopoulos, V. (2022). M5 accuracy competition: Results, findings, and conclusions. </w:t>
      </w:r>
      <w:r>
        <w:rPr>
          <w:i/>
          <w:iCs/>
        </w:rPr>
        <w:t xml:space="preserve">International Journal of Forecasting, 38</w:t>
      </w:r>
      <w:r>
        <w:t xml:space="preserve">(4), 1346–1364. https://doi.org/10.1016/j.ijforecast.2021.11.013</w:t>
      </w:r>
    </w:p>
    <w:p>
      <w:pPr>
        <w:spacing w:after="80"/>
        <w:ind w:left="720" w:hanging="720"/>
      </w:pPr>
      <w:r>
        <w:t xml:space="preserve">Moskovic, Y. (2026). </w:t>
      </w:r>
      <w:r>
        <w:rPr>
          <w:i/>
          <w:iCs/>
        </w:rPr>
        <w:t xml:space="preserve">How to calculate inventory turnover used by Shopify D2C brand</w:t>
      </w:r>
      <w:r>
        <w:t xml:space="preserve">. Prediko. https://www.prediko.io/blog/how-to-find-inventory-turnover-d2c</w:t>
      </w:r>
    </w:p>
    <w:p>
      <w:pPr>
        <w:spacing w:after="80"/>
        <w:ind w:left="720" w:hanging="720"/>
      </w:pPr>
      <w:r>
        <w:t xml:space="preserve">Singh, P. K., Gupta, Y., Jha, N., &amp; Rajan, A. (2019). </w:t>
      </w:r>
      <w:r>
        <w:rPr>
          <w:i/>
          <w:iCs/>
        </w:rPr>
        <w:t xml:space="preserve">Fashion retail: Forecasting demand for new items</w:t>
      </w:r>
      <w:r>
        <w:t xml:space="preserve">. arXiv. https://arxiv.org/abs/1907.01960</w:t>
      </w:r>
    </w:p>
    <w:p>
      <w:pPr>
        <w:spacing w:after="80"/>
        <w:ind w:left="720" w:hanging="720"/>
      </w:pPr>
      <w:r>
        <w:t xml:space="preserve">SPS Commerce. (s. f.). </w:t>
      </w:r>
      <w:r>
        <w:rPr>
          <w:i/>
          <w:iCs/>
        </w:rPr>
        <w:t xml:space="preserve">Key metrics to track in fashion, apparel, &amp; footwear</w:t>
      </w:r>
      <w:r>
        <w:t xml:space="preserve">. https://www.spscommerce.com/community/articles/key-metrics-to-track-in-fashion-apparel-and-footwear</w:t>
      </w:r>
    </w:p>
    <w:sectPr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2026-10-15T23:39:29.912Z</dcterms:created>
  <dcterms:modified xsi:type="dcterms:W3CDTF">2026-10-15T23:39:29.912Z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