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56"/>
          <w:szCs w:val="56"/>
        </w:rPr>
        <w:t xml:space="preserve">Estadística descriptiva</w:t>
      </w:r>
    </w:p>
    <w:p>
      <w:pPr>
        <w:spacing w:after="200"/>
        <w:jc w:val="center"/>
      </w:pPr>
      <w:r>
        <w:rPr>
          <w:sz w:val="26"/>
          <w:szCs w:val="26"/>
        </w:rPr>
        <w:t xml:space="preserve">TI3002C – Etapa 4.2: Medidas descriptivas y caracterización gráfica</w:t>
      </w:r>
    </w:p>
    <w:p>
      <w:pPr>
        <w:jc w:val="center"/>
      </w:pPr>
      <w:r>
        <w:rPr>
          <w:b/>
          <w:bCs/>
          <w:sz w:val="28"/>
          <w:szCs w:val="28"/>
        </w:rPr>
        <w:t xml:space="preserve">Equipo 6 – </w:t>
      </w:r>
      <w:r>
        <w:rPr>
          <w:b/>
          <w:bCs/>
          <w:sz w:val="28"/>
          <w:szCs w:val="28"/>
          <w:highlight w:val="yellow"/>
          <w:highlightCs w:val="yellow"/>
        </w:rPr>
        <w:t xml:space="preserve">[Nombre del equipo]</w:t>
      </w:r>
    </w:p>
    <w:p>
      <w:pPr>
        <w:spacing w:after="300"/>
        <w:jc w:val="center"/>
      </w:pPr>
      <w:r>
        <w:rPr>
          <w:sz w:val="24"/>
          <w:szCs w:val="24"/>
        </w:rPr>
        <w:t xml:space="preserve">Socio formador: DanuStore / Danu Analítica</w:t>
      </w:r>
    </w:p>
    <w:p>
      <w:pPr>
        <w:jc w:val="center"/>
      </w:pPr>
      <w:r>
        <w:rPr>
          <w:sz w:val="22"/>
          <w:szCs w:val="22"/>
        </w:rPr>
        <w:t xml:space="preserve">Analítica de datos y herramientas de inteligencia artificial (Gpo 601)</w:t>
      </w:r>
    </w:p>
    <w:p>
      <w:pPr>
        <w:spacing w:after="200"/>
        <w:jc w:val="center"/>
      </w:pPr>
      <w:r>
        <w:rPr>
          <w:sz w:val="20"/>
          <w:szCs w:val="20"/>
        </w:rPr>
        <w:t xml:space="preserve">Docentes: Ildefonso Torres Vargas, Luis Daniel Mendoza Morales, Anna Karen Gárate Escamilla, Alvaro Martínez Sánchez</w:t>
      </w:r>
    </w:p>
    <w:p>
      <w:pPr>
        <w:jc w:val="center"/>
      </w:pPr>
      <w:r>
        <w:rPr>
          <w:sz w:val="22"/>
          <w:szCs w:val="22"/>
        </w:rPr>
        <w:t xml:space="preserve">Jaime Hernández González | A00840312</w:t>
      </w:r>
    </w:p>
    <w:p>
      <w:pPr>
        <w:jc w:val="center"/>
      </w:pPr>
      <w:r>
        <w:rPr>
          <w:sz w:val="22"/>
          <w:szCs w:val="22"/>
        </w:rPr>
        <w:t xml:space="preserve">André Alberto Navarro de la Parra | A01278021</w:t>
      </w:r>
    </w:p>
    <w:p>
      <w:pPr>
        <w:jc w:val="center"/>
      </w:pPr>
      <w:r>
        <w:rPr>
          <w:sz w:val="22"/>
          <w:szCs w:val="22"/>
        </w:rPr>
        <w:t xml:space="preserve">Felix Samuel Vargas Mar | A01410658</w:t>
      </w:r>
    </w:p>
    <w:p>
      <w:pPr>
        <w:jc w:val="center"/>
      </w:pPr>
      <w:r>
        <w:rPr>
          <w:sz w:val="22"/>
          <w:szCs w:val="22"/>
        </w:rPr>
        <w:t xml:space="preserve">Aldahir Zarazúa Núñez | A01571549</w:t>
      </w:r>
    </w:p>
    <w:p>
      <w:pPr>
        <w:jc w:val="center"/>
      </w:pPr>
      <w:r>
        <w:rPr>
          <w:sz w:val="22"/>
          <w:szCs w:val="22"/>
        </w:rPr>
        <w:t xml:space="preserve">Javier Alejandro Padilla Matus | A01571744</w:t>
      </w:r>
    </w:p>
    <w:p>
      <w:pPr>
        <w:spacing w:before="300"/>
        <w:jc w:val="center"/>
      </w:pPr>
      <w:r>
        <w:rPr>
          <w:sz w:val="22"/>
          <w:szCs w:val="22"/>
        </w:rPr>
        <w:t xml:space="preserve">Instituto Tecnológico y de Estudios Superiores de Monterrey, Campus Monterrey</w:t>
      </w:r>
    </w:p>
    <w:p>
      <w:pPr>
        <w:jc w:val="center"/>
      </w:pPr>
      <w:r>
        <w:rPr>
          <w:sz w:val="22"/>
          <w:szCs w:val="22"/>
        </w:rPr>
        <w:t xml:space="preserve">4 de octubre de 2026</w:t>
      </w:r>
    </w:p>
    <w:p>
      <w:r>
        <w:br w:type="page"/>
      </w:r>
    </w:p>
    <w:p>
      <w:r>
        <w:rPr>
          <w:b/>
          <w:bCs/>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I. Perfil de Datos actualizado</w:t>
      </w:r>
    </w:p>
    <w:p>
      <w:pPr>
        <w:spacing w:after="120"/>
      </w:pPr>
      <w:r>
        <w:t xml:space="preserve">Tras la retroalimentación de profesores y socio formador, el análisis se realiza en dos niveles de detalle: </w:t>
      </w:r>
      <w:r>
        <w:rPr>
          <w:b/>
          <w:bCs/>
        </w:rPr>
        <w:t xml:space="preserve">Nivel Macro</w:t>
      </w:r>
      <w:r>
        <w:t xml:space="preserve"> (movimiento mensual del inventario) y </w:t>
      </w:r>
      <w:r>
        <w:rPr>
          <w:b/>
          <w:bCs/>
        </w:rPr>
        <w:t xml:space="preserve">Nivel Micro</w:t>
      </w:r>
      <w:r>
        <w:t xml:space="preserve"> (transacciones diarias). Ambos Dataframes están libres de valores nulos y duplicados.</w:t>
      </w:r>
    </w:p>
    <w:p>
      <w:pPr>
        <w:pStyle w:val="Heading2"/>
        <w:spacing w:after="100" w:before="180"/>
      </w:pPr>
      <w:r>
        <w:t xml:space="preserve">Dimensión de los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60"/>
        <w:gridCol w:w="1900"/>
        <w:gridCol w:w="1900"/>
      </w:tblGrid>
      <w:tr>
        <w:trPr>
          <w:tblHeader/>
        </w:trPr>
        <w:tc>
          <w:tcPr>
            <w:tcW w:type="dxa" w:w="3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1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Filas</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Columnas</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data_DanuStore_Equipo6_Mensual.csv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21,840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2,396,663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w:t>
            </w:r>
          </w:p>
        </w:tc>
      </w:tr>
    </w:tbl>
    <w:p/>
    <w:p>
      <w:pPr>
        <w:pStyle w:val="Heading2"/>
        <w:spacing w:after="100" w:before="180"/>
      </w:pPr>
      <w:r>
        <w:t xml:space="preserve">Número de variables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160"/>
        <w:gridCol w:w="1800"/>
      </w:tblGrid>
      <w:tr>
        <w:trPr>
          <w:tblHeader/>
        </w:trPr>
        <w:tc>
          <w:tcPr>
            <w:tcW w:type="dxa" w:w="2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Cuantitativas</w:t>
            </w:r>
          </w:p>
        </w:tc>
        <w:tc>
          <w:tcPr>
            <w:tcW w:type="dxa" w:w="3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Cualitativas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Fecha</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 (incluye year)</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 (incluye product_id e inventory_key)</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19 (incluye day y year)</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 (incluye identificadores; 19 al crear Rango_Edad)</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 (date, Registration_Date)</w:t>
            </w:r>
          </w:p>
        </w:tc>
      </w:tr>
    </w:tbl>
    <w:p>
      <w:pPr>
        <w:spacing w:after="120"/>
      </w:pPr>
      <w:r>
        <w:t xml:space="preserve">Las columnas identificadoras (product_id, stock_mov_id, client_id) se convirtieron a tipo object y las fechas a datetime, para que no se traten como numéricas.</w:t>
      </w:r>
    </w:p>
    <w:p>
      <w:pPr>
        <w:pStyle w:val="Heading2"/>
        <w:spacing w:after="100" w:before="180"/>
      </w:pPr>
      <w:r>
        <w:t xml:space="preserve">Tabla de variables seleccionadas para el análisis (12 + 1 nueva)</w:t>
      </w:r>
    </w:p>
    <w:p>
      <w:pPr>
        <w:pStyle w:val="Heading3"/>
        <w:spacing w:after="80" w:before="120"/>
      </w:pPr>
      <w:r>
        <w:t xml:space="preserve">Variables cuantitativas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Tipo</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3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Piezas vendidas por transacción (micro) o por mes (macro).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Número de compras de un cliente al año.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Ingreso en pesos por transacción o por mes.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Gasto total anual del cliente.</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 units_expected × 100.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Días que alcanza el stock al ritmo de venta diaria.</w:t>
            </w:r>
          </w:p>
        </w:tc>
      </w:tr>
    </w:tbl>
    <w:p>
      <w:pPr>
        <w:pStyle w:val="Heading3"/>
        <w:spacing w:after="80" w:before="120"/>
      </w:pPr>
      <w:r>
        <w:t xml:space="preserve">Variables cualitativas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53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Categorías</w:t>
            </w:r>
          </w:p>
        </w:tc>
        <w:tc>
          <w:tcPr>
            <w:tcW w:type="dxa" w:w="53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Línea de producto (Footwear, Casual Wear, Fitness Wear, Accessories).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Tipo específico de producto (Sneakers, Pants, Bags, etc.).</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Zona geográfica de venta e inventario.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Nivel de lealtad (Básico, Silver, Gold, Premium).</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Canal preferido (Tienda física, Online, App).</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Estrato económico (Bajo a Alto).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(nueva)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Rangos estándar Meta Ads / Google Analytics: 18-24, 25-34, 35-44, 45-54, 55-64, 65+.</w:t>
            </w:r>
          </w:p>
        </w:tc>
      </w:tr>
    </w:tbl>
    <w:p>
      <w:pPr>
        <w:pStyle w:val="Heading1"/>
        <w:spacing w:after="120" w:before="240"/>
      </w:pPr>
      <w:r>
        <w:t xml:space="preserve">II. Perfil de entidades y relaciones actualizado</w:t>
      </w:r>
    </w:p>
    <w:p>
      <w:pPr>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52725"/>
                    </a:xfrm>
                    <a:prstGeom prst="rect">
                      <a:avLst/>
                    </a:prstGeom>
                  </pic:spPr>
                </pic:pic>
              </a:graphicData>
            </a:graphic>
          </wp:inline>
        </w:drawing>
      </w:r>
    </w:p>
    <w:p>
      <w:pPr>
        <w:spacing w:after="120"/>
      </w:pPr>
      <w:r>
        <w:t xml:space="preserve">El modelo relaciona las entidades </w:t>
      </w:r>
      <w:r>
        <w:rPr>
          <w:b/>
          <w:bCs/>
        </w:rPr>
        <w:t xml:space="preserve">Producto</w:t>
      </w:r>
      <w:r>
        <w:t xml:space="preserve"> (product_id, category, subcategory, static_price), </w:t>
      </w:r>
      <w:r>
        <w:rPr>
          <w:b/>
          <w:bCs/>
        </w:rPr>
        <w:t xml:space="preserve">Cliente</w:t>
      </w:r>
      <w:r>
        <w:t xml:space="preserve"> (client_id, datos demográficos y de lealtad), </w:t>
      </w:r>
      <w:r>
        <w:rPr>
          <w:b/>
          <w:bCs/>
        </w:rPr>
        <w:t xml:space="preserve">Región</w:t>
      </w:r>
      <w:r>
        <w:t xml:space="preserve">, </w:t>
      </w:r>
      <w:r>
        <w:rPr>
          <w:b/>
          <w:bCs/>
        </w:rPr>
        <w:t xml:space="preserve">Transacción / Movimiento de stock</w:t>
      </w:r>
      <w:r>
        <w:t xml:space="preserve"> (stock_mov_id, transaction_id, date, units_sold, sales_amount) e </w:t>
      </w:r>
      <w:r>
        <w:rPr>
          <w:b/>
          <w:bCs/>
        </w:rPr>
        <w:t xml:space="preserve">Inventario mensual</w:t>
      </w:r>
      <w:r>
        <w:t xml:space="preserve"> (inventory_key = región + producto + mes + año, con units_expected, stock y las variables generadas).</w:t>
      </w:r>
    </w:p>
    <w:p>
      <w:pPr>
        <w:pStyle w:val="Heading1"/>
        <w:spacing w:after="120" w:before="240"/>
      </w:pPr>
      <w:r>
        <w:t xml:space="preserve">III. Análisis de Variables cualitativas</w:t>
      </w:r>
    </w:p>
    <w:p>
      <w:pPr>
        <w:spacing w:after="120"/>
      </w:pPr>
      <w:r>
        <w:t xml:space="preserve">Se analizaron en el Nivel Micro (2,396,663 transacciones). Para subcategory (13 categorías, más de 12) se aplicó la regla del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160"/>
        <w:gridCol w:w="2000"/>
      </w:tblGrid>
      <w:tr>
        <w:trPr>
          <w:tblHeader/>
        </w:trPr>
        <w:tc>
          <w:tcPr>
            <w:tcW w:type="dxa" w:w="2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2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Valor más frecuente</w:t>
            </w:r>
          </w:p>
        </w:tc>
        <w:tc>
          <w:tcPr>
            <w:tcW w:type="dxa" w:w="2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695,782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29.03%</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Sneakers</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319,059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13.31%</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852,574</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35.57%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Básico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1,243,162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51.87%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Tienda física</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1,036,756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43.26%</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742,197</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30.97%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(clientes únicos)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35-44</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10,411</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23.14%</w:t>
            </w:r>
          </w:p>
        </w:tc>
      </w:tr>
    </w:tbl>
    <w:p>
      <w:pPr>
        <w:pStyle w:val="Heading2"/>
        <w:spacing w:after="100" w:before="180"/>
      </w:pPr>
      <w:r>
        <w:t xml:space="preserve">Hallazgos</w:t>
      </w:r>
    </w:p>
    <w:p>
      <w:pPr>
        <w:pStyle w:val="ListParagraph"/>
        <w:numPr>
          <w:ilvl w:val="0"/>
          <w:numId w:val="2"/>
        </w:numPr>
        <w:spacing w:after="60"/>
      </w:pPr>
      <w:r>
        <w:rPr>
          <w:b/>
          <w:bCs/>
        </w:rPr>
        <w:t xml:space="preserve">category:</w:t>
      </w:r>
      <w:r>
        <w:t xml:space="preserve"> la demanda está bien repartida; Footwear (29.03%) y Casual Wear (27.17%) concentran el 56.20% de las transacciones, Accessories es la menor (20.16%).</w:t>
      </w:r>
    </w:p>
    <w:p>
      <w:pPr>
        <w:pStyle w:val="ListParagraph"/>
        <w:numPr>
          <w:ilvl w:val="0"/>
          <w:numId w:val="2"/>
        </w:numPr>
        <w:spacing w:after="60"/>
      </w:pPr>
      <w:r>
        <w:rPr>
          <w:b/>
          <w:bCs/>
        </w:rPr>
        <w:t xml:space="preserve">subcategory:</w:t>
      </w:r>
      <w:r>
        <w:t xml:space="preserve"> Sneakers lidera (13.31%); con la regla del 70% se conservan 8 subcategorías (hasta Sandals, 74.10% acumulado) y 5 se agrupan en "Otras" (Outerwear, Hats, Bags, Jewelry, Belts).</w:t>
      </w:r>
    </w:p>
    <w:p>
      <w:pPr>
        <w:pStyle w:val="ListParagraph"/>
        <w:numPr>
          <w:ilvl w:val="0"/>
          <w:numId w:val="2"/>
        </w:numPr>
        <w:spacing w:after="60"/>
      </w:pPr>
      <w:r>
        <w:rPr>
          <w:b/>
          <w:bCs/>
        </w:rPr>
        <w:t xml:space="preserve">region:</w:t>
      </w:r>
      <w:r>
        <w:t xml:space="preserve"> alta concentración: Ciudad de México (35.57%), Monterrey (22.20%) y Guadalajara (15.87%) suman el 73.64% de las transacciones.</w:t>
      </w:r>
    </w:p>
    <w:p>
      <w:pPr>
        <w:pStyle w:val="ListParagraph"/>
        <w:numPr>
          <w:ilvl w:val="0"/>
          <w:numId w:val="2"/>
        </w:numPr>
        <w:spacing w:after="60"/>
      </w:pPr>
      <w:r>
        <w:rPr>
          <w:b/>
          <w:bCs/>
        </w:rPr>
        <w:t xml:space="preserve">Client_Category:</w:t>
      </w:r>
      <w:r>
        <w:t xml:space="preserve"> el 92.36% de las transacciones son de clientes Básico (51.87%) y Silver (40.49%); Premium representa solo 0.74%.</w:t>
      </w:r>
    </w:p>
    <w:p>
      <w:pPr>
        <w:pStyle w:val="ListParagraph"/>
        <w:numPr>
          <w:ilvl w:val="0"/>
          <w:numId w:val="2"/>
        </w:numPr>
        <w:spacing w:after="60"/>
      </w:pPr>
      <w:r>
        <w:rPr>
          <w:b/>
          <w:bCs/>
        </w:rPr>
        <w:t xml:space="preserve">Preferred_Channel:</w:t>
      </w:r>
      <w:r>
        <w:t xml:space="preserve"> Tienda física (43.26%) sigue siendo el canal principal, pero Online (36.85%) + App (19.89%) ya suman 56.74%.</w:t>
      </w:r>
    </w:p>
    <w:p>
      <w:pPr>
        <w:pStyle w:val="ListParagraph"/>
        <w:numPr>
          <w:ilvl w:val="0"/>
          <w:numId w:val="2"/>
        </w:numPr>
        <w:spacing w:after="60"/>
      </w:pPr>
      <w:r>
        <w:rPr>
          <w:b/>
          <w:bCs/>
        </w:rPr>
        <w:t xml:space="preserve">Socioeconomic_Level:</w:t>
      </w:r>
      <w:r>
        <w:t xml:space="preserve"> el 84.03% de las transacciones vienen de niveles Medio, Medio-Bajo y Bajo; Alto solo representa 3.23%.</w:t>
      </w:r>
    </w:p>
    <w:p>
      <w:pPr>
        <w:pStyle w:val="ListParagraph"/>
        <w:numPr>
          <w:ilvl w:val="0"/>
          <w:numId w:val="2"/>
        </w:numPr>
        <w:spacing w:after="60"/>
      </w:pPr>
      <w:r>
        <w:rPr>
          <w:b/>
          <w:bCs/>
        </w:rPr>
        <w:t xml:space="preserve">Rango_Edad:</w:t>
      </w:r>
      <w:r>
        <w:t xml:space="preserve"> analizado con los 44,987 clientes únicos. 35-44 es el rango más frecuente (10,411 clientes, 23.14%), seguido de 25-34 (9,134; 20.30%) y 45-54 (8,329; 18.51%); 65+ tiene 5,963 (13.25%), 55-64 5,608 (12.47%) y 18-24 5,542 (12.32%). El 61.95% de los clientes tiene entre 25 y 54 años. En ventas, 35-44 genera $72.84 M (22.99% del total), 25-34 $64.51 M (20.36%), 45-54 $58.31 M (18.40%), 65+ $42.14 M (13.30%), 18-24 $39.66 M (12.52%) y 55-64 $39.36 M (12.42%). El gasto por cliente es casi igual en todos los rangos: de $6,996.64 (35-44) a $7,156.74 (18-24).</w:t>
      </w:r>
    </w:p>
    <w:p>
      <w:pPr>
        <w:pStyle w:val="Heading1"/>
        <w:spacing w:after="120" w:before="240"/>
      </w:pPr>
      <w:r>
        <w:t xml:space="preserve">IV. Análisis de variables cuantitativas</w:t>
      </w:r>
    </w:p>
    <w:p>
      <w:pPr>
        <w:pStyle w:val="Heading2"/>
        <w:spacing w:after="100" w:before="180"/>
      </w:pPr>
      <w:r>
        <w:t xml:space="preserve">A. Tipo de variables</w:t>
      </w:r>
    </w:p>
    <w:p>
      <w:pPr>
        <w:spacing w:after="120"/>
      </w:pPr>
      <w:r>
        <w:t xml:space="preserve">Sí se tienen variables discretas y continuas en ambos niveles. </w:t>
      </w:r>
      <w:r>
        <w:rPr>
          <w:b/>
          <w:bCs/>
        </w:rPr>
        <w:t xml:space="preserve">Discretas:</w:t>
      </w:r>
      <w:r>
        <w:t xml:space="preserve"> units_sold, Annual_Purchase_Frequency. </w:t>
      </w:r>
      <w:r>
        <w:rPr>
          <w:b/>
          <w:bCs/>
        </w:rPr>
        <w:t xml:space="preserve">Continuas:</w:t>
      </w:r>
      <w:r>
        <w:t xml:space="preserve"> sales_amount, Annual_Total_Spend, Cumplimiento_Venta_Esperada, Dias_Cobertura_Inventario.</w:t>
      </w:r>
    </w:p>
    <w:p>
      <w:pPr>
        <w:pStyle w:val="Heading2"/>
        <w:spacing w:after="100" w:before="180"/>
      </w:pPr>
      <w:r>
        <w:t xml:space="preserve">B. Variables discretas</w:t>
      </w:r>
    </w:p>
    <w:p>
      <w:pPr>
        <w:pStyle w:val="Heading3"/>
        <w:spacing w:after="80" w:before="120"/>
      </w:pPr>
      <w:r>
        <w:t xml:space="preserve">units_sold (Nivel Micro)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Piezas por transacción</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881,834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1,059,283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80.99%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326,244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94.60%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98,800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4.12%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98.72%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99.75%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5,975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0.25%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Valor más frecuente:</w:t>
      </w:r>
      <w:r>
        <w:t xml:space="preserve"> 2 piezas (44.20%). El 80.99% de las transacciones son de 1 o 2 piezas; compras de 4 o más son el 5.40%. </w:t>
      </w:r>
      <w:r>
        <w:rPr>
          <w:b/>
          <w:bCs/>
        </w:rPr>
        <w:t xml:space="preserve">Conclusión:</w:t>
      </w:r>
      <w:r>
        <w:t xml:space="preserve"> la canasta típica es pequeña; hay oportunidad de promociones por volumen y venta cruzada.</w:t>
      </w:r>
    </w:p>
    <w:p>
      <w:pPr>
        <w:pStyle w:val="Heading3"/>
        <w:spacing w:after="80" w:before="120"/>
      </w:pPr>
      <w:r>
        <w:t xml:space="preserve">Annual_Purchase_Frequency (Nivel Micro)</w:t>
      </w:r>
    </w:p>
    <w:p>
      <w:pPr>
        <w:spacing w:after="120"/>
      </w:pPr>
      <w:r>
        <w:t xml:space="preserve">Rango de 1 a 26 compras al año; media 5.91, Q1 = 3, mediana 5 y Q3 = 8. </w:t>
      </w:r>
      <w:r>
        <w:rPr>
          <w:b/>
          <w:bCs/>
        </w:rPr>
        <w:t xml:space="preserve">Valor más frecuente:</w:t>
      </w:r>
      <w:r>
        <w:t xml:space="preserve"> 4 compras al año (312,409 registros, 13.04%), seguido de 5 (11.91%) y 3 (11.66%). El 71.92% de los registros corresponde a clientes con 7 compras o menos y solo el 1.34% a clientes con más de 15. La media es mayor que la mediana (sesgo a la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Compras al año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157,861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217,274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279,529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11.66%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27.32%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312,409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13.04%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40.35%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285,474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11.91%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52.26%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253,406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62.84%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217,804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71.92%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173,472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7.24%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79.16%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138,555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5.78%</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84.94%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89.36%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 a 15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222,983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9.30%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98.66%</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 a 26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31,996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Conclusión:</w:t>
      </w:r>
      <w:r>
        <w:t xml:space="preserve"> predominan los clientes de recurrencia media; los muy frecuentes son un grupo pequeño que conviene retener.</w:t>
      </w:r>
    </w:p>
    <w:p>
      <w:pPr>
        <w:pStyle w:val="Heading2"/>
        <w:spacing w:after="100" w:before="180"/>
      </w:pPr>
      <w:r>
        <w:t xml:space="preserve">C. Variables continuas (histogramas y boxplots)</w:t>
      </w:r>
    </w:p>
    <w:p>
      <w:pPr>
        <w:spacing w:after="120"/>
      </w:pPr>
      <w:r>
        <w:t xml:space="preserve">En los histogramas se graficaron la media, ±1σ, ±3.5σ y la distribución normal teórica. En los boxplots se usó escala logarítmica cuando la asimetría es mayor a 2. El límite de outliers se calcula como Q3 + 1.5·IQR.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6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Resultados de histograma y boxplot</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$132.20, σ $88.84. El 50% central está entre $67.05 (Q1) y $173.80 (Q3); media &gt; mediana ($109.66), sesgo a la derecha. Outliers a partir de $333.93; 12,002 transacciones (0.50%) fuera de ±3.5σ. Máximo $1,033.92.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$10,871.76, σ $12,195.31. El 50% central está entre $2,654.40 y $14,675.08; mediana $6,718.08, fuerte sesgo a la derecha. Outliers a partir de $32,706.10; 34,833 registros (1.45%) fuera de ±3.5σ. Máximo $118,710.24.</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15.69%, σ 9.64. El 50% central está entre 8.11% y 21.25%; mediana 12.01%. Outliers a partir de 40.97%; 22 registros (0.10%) fuera de ±3.5σ y 0 atípicos extremos (&gt; 3 IQR). Máximo 57.81%.</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289.35 días, σ 152.04. El 50% central está entre 165.30 y 383.27 días; mediana 266.59. Outliers a partir de 710.24 días; 93 registros (0.43%) fuera de ±3.5σ y 16 atípicos extremos (0.07%). Máximo 1,377.41 días.</w:t>
            </w:r>
          </w:p>
        </w:tc>
      </w:tr>
    </w:tbl>
    <w:p>
      <w:pPr>
        <w:pStyle w:val="Heading3"/>
        <w:spacing w:after="80" w:before="120"/>
      </w:pPr>
      <w:r>
        <w:t xml:space="preserve">Intervalos más frecuentes (histogramas con regla de Sturges)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2760"/>
        <w:gridCol w:w="1900"/>
      </w:tblGrid>
      <w:tr>
        <w:trPr>
          <w:tblHeader/>
        </w:trPr>
        <w:tc>
          <w:tcPr>
            <w:tcW w:type="dxa" w:w="3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N.º de intervalos</w:t>
            </w:r>
          </w:p>
        </w:tc>
        <w:tc>
          <w:tcPr>
            <w:tcW w:type="dxa" w:w="27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Intervalo más frecuente</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de los datos</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$58.06 – $102.41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27.22%</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$150.00 – $5,304.79</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42.70%</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6.20% – 9.64%</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28.62%</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120.02 – 203.85 días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w:t>
            </w:r>
          </w:p>
        </w:tc>
      </w:tr>
    </w:tbl>
    <w:p>
      <w:pPr>
        <w:pStyle w:val="Heading2"/>
        <w:spacing w:after="100" w:before="180"/>
      </w:pPr>
      <w:r>
        <w:t xml:space="preserve">E. Boxplots de todas las variables cuantitativas</w:t>
      </w:r>
    </w:p>
    <w:p>
      <w:pPr>
        <w:spacing w:after="120"/>
      </w:pPr>
      <w:r>
        <w:t xml:space="preserve">Límites de outliers (Q1 − 1.5·IQR y Q3 + 1.5·IQR) de todas las variables cuantitativas graficadas en la sección 4.4.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560"/>
        <w:gridCol w:w="1800"/>
        <w:gridCol w:w="180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(Macro)</w:t>
            </w:r>
          </w:p>
        </w:tc>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Outliers desde</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N.º outliers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units_expected</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2,434.38</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0.57%</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stock</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2,862.50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1.21%</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percentage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&lt; 67.45 y &gt; 152.14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118</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0.54%</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593.50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4.79%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$39,299.74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1,572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7.20%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static_price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$188.25</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840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3.85%</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Ventas_Acumuladas_Mensual</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593.50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4.79%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Stock_Restante_Mensual</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2,371.00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0.98%</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40.97%</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363</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1.66%</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Product_Repeat_Purchase_Rate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&lt; 99.80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2,352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10.77%</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Venta_Promedio_Diaria</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19.48</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4.77%</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710.24 días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1.26%</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560"/>
        <w:gridCol w:w="1800"/>
        <w:gridCol w:w="180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(Micro)</w:t>
            </w:r>
          </w:p>
        </w:tc>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Outliers desde</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N.º outliers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static_price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$193.82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100,839</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4.21%</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units_expected</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2,797.00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0.04%</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stock</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3,458.00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10,976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0.46%</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percentage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&lt; 74.84 y &gt; 154.89</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20,073</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0.84%</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3.5 (4 piezas o más)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129,302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5.40%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$333.93</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91,973</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3.84%</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Age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Sin outliers (18 a 85 años)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0.00%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Num_Children</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Sin outliers (0 a 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0.00%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Monthly_Salary</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$64,656.32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55,277</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2.31%</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Client_Seniority_Years</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Sin outliers (0.01 a 10.01)</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0.00%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15.5 (16 compras o más)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31,996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1.34%</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Average_Ticket</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$3,809.32</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50,116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$32,706.10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145,907</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6.09%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Ventas_Acumuladas</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564.00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81,375</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3.40%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Stock_Restante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3,050.50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16,645</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0.69%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&gt; 57.76%</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0.01%</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Repeat_Purchase_Rate</w:t>
            </w:r>
          </w:p>
        </w:tc>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&lt; 100 (la mayoría vale 100)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151,710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6.33%</w:t>
            </w:r>
          </w:p>
        </w:tc>
      </w:tr>
    </w:tbl>
    <w:p>
      <w:pPr>
        <w:spacing w:after="120"/>
      </w:pPr>
      <w:r>
        <w:t xml:space="preserve">Las variables de precio, ventas y gasto tienen outliers solo en la parte alta (sesgo a la derecha); Age, Num_Children y Client_Seniority_Years no tienen outliers. Product_Repeat_Purchase_Rate y Repeat_Purchase_Rate casi siempre valen ~100, por lo que cualquier valor menor aparece como outlier y aportan poca información.</w:t>
      </w:r>
    </w:p>
    <w:p>
      <w:pPr>
        <w:pStyle w:val="Heading2"/>
        <w:spacing w:after="100" w:before="180"/>
      </w:pPr>
      <w:r>
        <w:t xml:space="preserve">D. Conclusión de histogramas y boxplots</w:t>
      </w:r>
    </w:p>
    <w:p>
      <w:pPr>
        <w:spacing w:after="120"/>
      </w:pPr>
      <w:r>
        <w:t xml:space="preserve">Ninguna variable continua sigue una distribución normal: en todas la media es mayor que la mediana (sesgo a la derecha), con la mayoría de los valores en la parte baja y una cola de valores altos. Los valores fuera de ±3.5σ son menos del 1.5% en todos los casos y corresponden a casos reales del negocio (compras grandes, clientes de alto valor, productos con muy baja rotación), por lo que no se eliminan.</w:t>
      </w:r>
    </w:p>
    <w:p>
      <w:pPr>
        <w:pStyle w:val="Heading1"/>
        <w:spacing w:after="120" w:before="240"/>
      </w:pPr>
      <w:r>
        <w:t xml:space="preserve">V. Análisis de variables cuantitativas respecto a variables cualitativas</w:t>
      </w:r>
    </w:p>
    <w:p>
      <w:pPr>
        <w:spacing w:after="120"/>
      </w:pPr>
      <w:r>
        <w:t xml:space="preserve">Para cada variable cualitativa se graficaron boxplots de las variables cuantitativas de su mismo nivel, incluyendo una caja de "Todos los datos" como referencia. En subcategory se aplicó la regla del 70% de las unidades vendidas.</w:t>
      </w:r>
    </w:p>
    <w:p>
      <w:pPr>
        <w:pStyle w:val="Heading2"/>
        <w:spacing w:after="100" w:before="180"/>
      </w:pPr>
      <w:r>
        <w:t xml:space="preserve">5.1 Nivel Macro (category, subcategory, region)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1800"/>
        <w:gridCol w:w="1700"/>
        <w:gridCol w:w="1700"/>
      </w:tblGrid>
      <w:tr>
        <w:trPr>
          <w:tblHeader/>
        </w:trPr>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units_sold</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sales_amount</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Cumplimiento %</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Días cobertura</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512.50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$30,778.03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33.29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109.31</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ZM Monterrey</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318.00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$18,922.20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22.44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159.64</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ZM Guadalajara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227.00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$13,795.21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17.41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201.38</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Bajío</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$8,110.71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11.40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294.69</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Noroeste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$5,706.37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8.70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364.66</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79.00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$4,567.57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364.08</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Sureste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$3,949.32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6.58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472.26</w:t>
            </w:r>
          </w:p>
        </w:tc>
      </w:tr>
    </w:tbl>
    <w:p>
      <w:pPr>
        <w:spacing w:after="120"/>
      </w:pPr>
      <w:r>
        <w:t xml:space="preserve">Medianas por registro mensual (producto-región-mes).</w:t>
      </w:r>
    </w:p>
    <w:p>
      <w:pPr>
        <w:pStyle w:val="ListParagraph"/>
        <w:numPr>
          <w:ilvl w:val="0"/>
          <w:numId w:val="2"/>
        </w:numPr>
        <w:spacing w:after="60"/>
      </w:pPr>
      <w:r>
        <w:rPr>
          <w:b/>
          <w:bCs/>
        </w:rPr>
        <w:t xml:space="preserve">region – units_sold y sales_amount:</w:t>
      </w:r>
      <w:r>
        <w:t xml:space="preserve"> jerarquía clara: Ciudad de México vende 7.6 veces más unidades que Sureste (mediana 512.5 vs. 67) y casi 8 veces más en monto. Los límites de outliers cambian mucho por región: en unidades van de 135.38 (Sureste) a 989.00 (Ciudad de México), y en monto de $11,400.73 a $86,597.36.</w:t>
      </w:r>
    </w:p>
    <w:p>
      <w:pPr>
        <w:pStyle w:val="ListParagraph"/>
        <w:numPr>
          <w:ilvl w:val="0"/>
          <w:numId w:val="2"/>
        </w:numPr>
        <w:spacing w:after="60"/>
      </w:pPr>
      <w:r>
        <w:rPr>
          <w:b/>
          <w:bCs/>
        </w:rPr>
        <w:t xml:space="preserve">region – Cumplimiento_Venta_Esperada:</w:t>
      </w:r>
      <w:r>
        <w:t xml:space="preserve"> mismo orden: de 33.29% en Ciudad de México a 6.58% en Sureste. Outliers a partir de 10.99% en Sureste hasta 47.59% en Ciudad de México.</w:t>
      </w:r>
    </w:p>
    <w:p>
      <w:pPr>
        <w:pStyle w:val="ListParagraph"/>
        <w:numPr>
          <w:ilvl w:val="0"/>
          <w:numId w:val="2"/>
        </w:numPr>
        <w:spacing w:after="60"/>
      </w:pPr>
      <w:r>
        <w:rPr>
          <w:b/>
          <w:bCs/>
        </w:rPr>
        <w:t xml:space="preserve">region – Dias_Cobertura_Inventario:</w:t>
      </w:r>
      <w:r>
        <w:t xml:space="preserve"> comportamiento inverso: de 109 días en Ciudad de México a 472 días en Sureste. Outliers a partir de 168 días en Ciudad de México hasta 820.94 días en Sureste. </w:t>
      </w:r>
      <w:r>
        <w:rPr>
          <w:b/>
          <w:bCs/>
        </w:rPr>
        <w:t xml:space="preserve">Conclusión:</w:t>
      </w:r>
      <w:r>
        <w:t xml:space="preserve"> las regiones con menos venta reciben inventario proporcionalmente excesivo; conviene redistribuirlo hacia las zonas metropolitanas.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1800"/>
        <w:gridCol w:w="1700"/>
        <w:gridCol w:w="1700"/>
      </w:tblGrid>
      <w:tr>
        <w:trPr>
          <w:tblHeader/>
        </w:trPr>
        <w:tc>
          <w:tcPr>
            <w:tcW w:type="dxa" w:w="25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w:t>
            </w:r>
          </w:p>
        </w:tc>
        <w:tc>
          <w:tcPr>
            <w:tcW w:type="dxa" w:w="1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units_sold</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sales_amount</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Cumplimiento %</w:t>
            </w:r>
          </w:p>
        </w:tc>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Días cobertura</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Casual 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$8,659.83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253.27</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Fitness 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137.00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$7,673.12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254.02</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133.00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$12,910.62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288.05</w:t>
            </w:r>
          </w:p>
        </w:tc>
      </w:tr>
      <w:tr>
        <w:trPr>
          <w:tblHeader w:val="false"/>
        </w:trPr>
        <w:tc>
          <w:tcPr>
            <w:tcW w:type="dxa" w:w="25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Accessories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127.50</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$6,900.57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11.91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270.53</w:t>
            </w:r>
          </w:p>
        </w:tc>
      </w:tr>
    </w:tbl>
    <w:p>
      <w:pPr>
        <w:pStyle w:val="ListParagraph"/>
        <w:numPr>
          <w:ilvl w:val="0"/>
          <w:numId w:val="2"/>
        </w:numPr>
        <w:spacing w:after="60"/>
      </w:pPr>
      <w:r>
        <w:rPr>
          <w:b/>
          <w:bCs/>
        </w:rPr>
        <w:t xml:space="preserve">category:</w:t>
      </w:r>
      <w:r>
        <w:t xml:space="preserve"> las diferencias son pequeñas. Casual Wear tiene la mediana más alta de unidades (155.5), pero Footwear genera más monto ($12,910.62) por su mayor precio; a la vez, Footwear tiene el menor cumplimiento (10.99%) y la mayor cobertura (288 días). Outliers de unidades a partir de 557.5 (Accessories) a 684.5 (Casual Wear); de monto de $31,229.45 a $55,601.91 (Footwear); de cumplimiento de 37.15% (Footwear) a 43.24%; de cobertura de 662.50 a 789.24 días (Footwear).</w:t>
      </w:r>
    </w:p>
    <w:p>
      <w:pPr>
        <w:pStyle w:val="ListParagraph"/>
        <w:numPr>
          <w:ilvl w:val="0"/>
          <w:numId w:val="2"/>
        </w:numPr>
        <w:spacing w:after="60"/>
      </w:pPr>
      <w:r>
        <w:rPr>
          <w:b/>
          <w:bCs/>
        </w:rPr>
        <w:t xml:space="preserve">subcategory (regla del 70% por unidades vendidas: Sneakers, Bottoms, Shirts, Pants, Dresses, Tops, Boots y Sandals; el resto en "Otras"):</w:t>
      </w:r>
      <w:r>
        <w:t xml:space="preserve"> Bottoms tiene la mediana más alta de unidades (165) y Boots la de monto ($19,624.73). Las subcategorías de mayor precio (Boots, Sneakers y Bags) tienen el menor cumplimiento (10.17–10.29%) y la mayor cobertura (305–312 días): son las que más sobrestock acumulan. Outliers de monto a partir de $20,053.27 (Belts) hasta $79,290.15 (Boots), y de cobertura a partir de 656.45 (Belts) hasta 828.38 días (Sneakers).</w:t>
      </w:r>
    </w:p>
    <w:p>
      <w:pPr>
        <w:pStyle w:val="Heading2"/>
        <w:spacing w:after="100" w:before="180"/>
      </w:pPr>
      <w:r>
        <w:t xml:space="preserve">5.2 Nivel Micro (6 cualitativas + Rango_Edad)</w:t>
      </w:r>
    </w:p>
    <w:p>
      <w:pPr>
        <w:spacing w:after="120"/>
      </w:pPr>
      <w:r>
        <w:t xml:space="preserve">Medianas por transacción. units_sold tiene mediana de 2 piezas en todas las categorías de todas las variables. En region, Client_Category, Preferred_Channel, Socioeconomic_Level y Rango_Edad presenta outliers a partir de 4 piezas (límite 3.5) en todas sus categorías.</w:t>
      </w:r>
    </w:p>
    <w:p>
      <w:pPr>
        <w:pStyle w:val="ListParagraph"/>
        <w:numPr>
          <w:ilvl w:val="0"/>
          <w:numId w:val="2"/>
        </w:numPr>
        <w:spacing w:after="60"/>
      </w:pPr>
      <w:r>
        <w:rPr>
          <w:b/>
          <w:bCs/>
        </w:rPr>
        <w:t xml:space="preserve">category y subcategory – units_sold:</w:t>
      </w:r>
      <w:r>
        <w:t xml:space="preserve"> Accessories y Footwear tienen Q3 de 2 piezas y outliers a partir de 4; Casual Wear y Fitness Wear tienen Q3 de 3 y no presentan outliers (límite 6). Por subcategoría, Bags, Boots y Sneakers nunca superan 2 piezas por transacción y Jewelry 3; el resto llega hasta 6 sin outliers.</w:t>
      </w:r>
    </w:p>
    <w:p>
      <w:pPr>
        <w:pStyle w:val="ListParagraph"/>
        <w:numPr>
          <w:ilvl w:val="0"/>
          <w:numId w:val="2"/>
        </w:numPr>
        <w:spacing w:after="60"/>
      </w:pPr>
      <w:r>
        <w:rPr>
          <w:b/>
          <w:bCs/>
        </w:rPr>
        <w:t xml:space="preserve">region:</w:t>
      </w:r>
      <w:r>
        <w:t xml:space="preserve"> el monto por transacción es igual en todas (~$108–110) y la frecuencia también (mediana 5). Cambia el gasto anual: Ciudad de México ($7,155.00) y Monterrey ($6,953.96) contra Sur ($5,960.64) y Bajío ($5,967.45). Outliers: monto a partir de ~$332–335, frecuencia a partir de 16 compras y gasto anual a partir de $28,791.10 (Noroeste) a $34,912.93 (Ciudad de México).</w:t>
      </w:r>
    </w:p>
    <w:p>
      <w:pPr>
        <w:pStyle w:val="ListParagraph"/>
        <w:numPr>
          <w:ilvl w:val="0"/>
          <w:numId w:val="2"/>
        </w:numPr>
        <w:spacing w:after="60"/>
      </w:pPr>
      <w:r>
        <w:rPr>
          <w:b/>
          <w:bCs/>
        </w:rPr>
        <w:t xml:space="preserve">Client_Category:</w:t>
      </w:r>
      <w:r>
        <w:t xml:space="preserve"> gran diferencia en valor del cliente: la frecuencia anual mediana es 4 en Básico, 7 en Silver, 12 en Gold y 11 en Premium, y el gasto anual mediano es $2,938.50, $13,040.24, $38,239.08 y $57,971.16 respectivamente. El ticket por transacción casi no cambia ($105–120). El programa de lealtad sí separa a los clientes de mayor valor. Outliers de frecuencia a partir de 10 compras en Básico y de 22 en Premium; de gasto anual a partir de $11,879.88 en Básico y $106,021.25 en Premium; de monto a partir de $321.45 (Básico) a $357.50 (Gold).</w:t>
      </w:r>
    </w:p>
    <w:p>
      <w:pPr>
        <w:pStyle w:val="ListParagraph"/>
        <w:numPr>
          <w:ilvl w:val="0"/>
          <w:numId w:val="2"/>
        </w:numPr>
        <w:spacing w:after="60"/>
      </w:pPr>
      <w:r>
        <w:rPr>
          <w:b/>
          <w:bCs/>
        </w:rPr>
        <w:t xml:space="preserve">Preferred_Channel:</w:t>
      </w:r>
      <w:r>
        <w:t xml:space="preserve"> sin diferencias relevantes: App, Online y Tienda física tienen mediana de 5 compras al año, ~$110 por transacción y ~$6,600–6,810 de gasto anual. Los límites de outliers también son casi iguales: monto a partir de ~$334, frecuencia a partir de 16 compras y gasto anual a partir de $32,034.15–33,334.15.</w:t>
      </w:r>
    </w:p>
    <w:p>
      <w:pPr>
        <w:pStyle w:val="ListParagraph"/>
        <w:numPr>
          <w:ilvl w:val="0"/>
          <w:numId w:val="2"/>
        </w:numPr>
        <w:spacing w:after="60"/>
      </w:pPr>
      <w:r>
        <w:rPr>
          <w:b/>
          <w:bCs/>
        </w:rPr>
        <w:t xml:space="preserve">Socioeconomic_Level – units_sold:</w:t>
      </w:r>
      <w:r>
        <w:t xml:space="preserve"> sin diferencias: en todos los niveles la caja va de 1 a 2 piezas, con outliers en 4, 5 y 6 piezas.</w:t>
      </w:r>
    </w:p>
    <w:p>
      <w:pPr>
        <w:pStyle w:val="ListParagraph"/>
        <w:numPr>
          <w:ilvl w:val="0"/>
          <w:numId w:val="2"/>
        </w:numPr>
        <w:spacing w:after="60"/>
      </w:pPr>
      <w:r>
        <w:rPr>
          <w:b/>
          <w:bCs/>
        </w:rPr>
        <w:t xml:space="preserve">Socioeconomic_Level – Annual_Purchase_Frequency:</w:t>
      </w:r>
      <w:r>
        <w:t xml:space="preserve"> la mediana aumenta en cada nivel: 3 compras al año en Bajo, 4 en Medio-Bajo, 7 en Medio, 9 en Medio-Alto y 12 en Alto. Todos los niveles tienen outliers en la parte alta: a partir de 10 compras en Bajo, 11 en Medio-Bajo, 16 en Medio, 20 en Medio-Alto y 22 en Alto.</w:t>
      </w:r>
    </w:p>
    <w:p>
      <w:pPr>
        <w:pStyle w:val="ListParagraph"/>
        <w:numPr>
          <w:ilvl w:val="0"/>
          <w:numId w:val="2"/>
        </w:numPr>
        <w:spacing w:after="60"/>
      </w:pPr>
      <w:r>
        <w:rPr>
          <w:b/>
          <w:bCs/>
        </w:rPr>
        <w:t xml:space="preserve">Socioeconomic_Level – sales_amount:</w:t>
      </w:r>
      <w:r>
        <w:t xml:space="preserve"> el ticket por transacción es muy similar: mediana de $103.06 en Bajo a $119.94 en Alto. Outliers a partir de $314.55 en Bajo hasta $356.46 en Medio-Alto.</w:t>
      </w:r>
    </w:p>
    <w:p>
      <w:pPr>
        <w:pStyle w:val="ListParagraph"/>
        <w:numPr>
          <w:ilvl w:val="0"/>
          <w:numId w:val="2"/>
        </w:numPr>
        <w:spacing w:after="60"/>
      </w:pPr>
      <w:r>
        <w:rPr>
          <w:b/>
          <w:bCs/>
        </w:rPr>
        <w:t xml:space="preserve">Socioeconomic_Level – Annual_Total_Spend (escala log):</w:t>
      </w:r>
      <w:r>
        <w:t xml:space="preserve"> fuerte gradiente: mediana de $1,769.32 en Bajo, $4,804.98 en Medio-Bajo, $12,001.62 en Medio, $21,154.40 en Medio-Alto y $41,275.52 en Alto (23 veces más que Bajo). Outliers a partir de $7,285.86 en Bajo y de $86,007.30 en Alto. </w:t>
      </w:r>
      <w:r>
        <w:rPr>
          <w:b/>
          <w:bCs/>
        </w:rPr>
        <w:t xml:space="preserve">Conclusión:</w:t>
      </w:r>
      <w:r>
        <w:t xml:space="preserve"> los clientes de nivel alto no gastan mucho más por compra, sino que compran con mayor frecuencia.</w:t>
      </w:r>
    </w:p>
    <w:p>
      <w:pPr>
        <w:pStyle w:val="ListParagraph"/>
        <w:numPr>
          <w:ilvl w:val="0"/>
          <w:numId w:val="2"/>
        </w:numPr>
        <w:spacing w:after="60"/>
      </w:pPr>
      <w:r>
        <w:rPr>
          <w:b/>
          <w:bCs/>
        </w:rPr>
        <w:t xml:space="preserve">Rango_Edad:</w:t>
      </w:r>
      <w:r>
        <w:t xml:space="preserve"> las cuatro variables tienen distribuciones prácticamente iguales: mediana de 2 piezas y 5 compras al año en todos los rangos, ticket mediano de $109.38 a $110.16 y gasto anual mediano de $6,566.55 a $6,838.72. Los límites de outliers también son casi iguales: monto a partir de $333.09–335.48, frecuencia a partir de 16 compras y gasto anual a partir de $31,934.62–33,230.24. </w:t>
      </w:r>
      <w:r>
        <w:rPr>
          <w:b/>
          <w:bCs/>
        </w:rPr>
        <w:t xml:space="preserve">La edad no diferencia el comportamiento de compra.</w:t>
      </w:r>
    </w:p>
    <w:p>
      <w:pPr>
        <w:pStyle w:val="Heading2"/>
        <w:spacing w:after="100" w:before="180"/>
      </w:pPr>
      <w:r>
        <w:t xml:space="preserve">Análisis adicional: Stock vs. Esperado vs. Vendido</w:t>
      </w:r>
    </w:p>
    <w:p>
      <w:pPr>
        <w:pStyle w:val="ListParagraph"/>
        <w:numPr>
          <w:ilvl w:val="0"/>
          <w:numId w:val="2"/>
        </w:numPr>
        <w:spacing w:after="60"/>
      </w:pPr>
      <w:r>
        <w:t xml:space="preserve">Se venden entre 160,918 (febrero 2024) y 231,237 (diciembre 2025) unidades al mes, contra una demanda esperada de 1.07 a 1.16 millones: el cumplimiento mensual va de 14.15% a 21.28% (17.49% en promedio en 2024 y 16.49% en 2025).</w:t>
      </w:r>
    </w:p>
    <w:p>
      <w:pPr>
        <w:pStyle w:val="ListParagraph"/>
        <w:numPr>
          <w:ilvl w:val="0"/>
          <w:numId w:val="2"/>
        </w:numPr>
        <w:spacing w:after="60"/>
      </w:pPr>
      <w:r>
        <w:t xml:space="preserve">El stock es mayor que la demanda esperada en todos los meses, entre 110.05% y 112.28% de lo esperado.</w:t>
      </w:r>
    </w:p>
    <w:p>
      <w:pPr>
        <w:pStyle w:val="ListParagraph"/>
        <w:numPr>
          <w:ilvl w:val="0"/>
          <w:numId w:val="2"/>
        </w:numPr>
        <w:spacing w:after="60"/>
      </w:pPr>
      <w:r>
        <w:t xml:space="preserve">De 2024 a 2025 la demanda esperada mensual promedio subió 6.35% (de 1,078,219 a 1,146,720 unidades) y el stock 6.26%, pero las ventas solo 0.29% (de 188,592 a 189,143).</w:t>
      </w:r>
    </w:p>
    <w:p>
      <w:pPr>
        <w:pStyle w:val="ListParagraph"/>
        <w:numPr>
          <w:ilvl w:val="0"/>
          <w:numId w:val="2"/>
        </w:numPr>
        <w:spacing w:after="60"/>
      </w:pPr>
      <w:r>
        <w:t xml:space="preserve">Las ventas tienen estacionalidad: picos en noviembre y diciembre (~230 mil unidades, 20–21% de cumplimiento) y mínimo en febrero (~161 mil), mientras que la demanda esperada se mantiene casi plana.</w:t>
      </w:r>
    </w:p>
    <w:p>
      <w:pPr>
        <w:pStyle w:val="Heading1"/>
        <w:spacing w:after="120" w:before="240"/>
      </w:pPr>
      <w:r>
        <w:t xml:space="preserve">VI. Medidas descriptivas por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00"/>
        <w:gridCol w:w="1400"/>
        <w:gridCol w:w="1200"/>
        <w:gridCol w:w="1300"/>
        <w:gridCol w:w="1300"/>
      </w:tblGrid>
      <w:tr>
        <w:trPr>
          <w:tblHeader/>
        </w:trPr>
        <w:tc>
          <w:tcPr>
            <w:tcW w:type="dxa" w:w="2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cuantitativa</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w:t>
            </w:r>
          </w:p>
        </w:tc>
        <w:tc>
          <w:tcPr>
            <w:tcW w:type="dxa" w:w="1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Desv. Estándar</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Q1</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Mediana/Q2</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Q3</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0.89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3.48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132.20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88.84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109.66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173.80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10,871.76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12,195.31</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2,654.40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6,718.08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14,675.08</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207.55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175.59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14,506.75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15,594.18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4,646.08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9,011.64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18,507.54</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9.64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21.25</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289.35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152.04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165.30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266.59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383.27</w:t>
            </w:r>
          </w:p>
        </w:tc>
      </w:tr>
    </w:tbl>
    <w:p>
      <w:pPr>
        <w:pStyle w:val="Heading2"/>
        <w:spacing w:after="100" w:before="180"/>
      </w:pPr>
      <w:r>
        <w:t xml:space="preserve">Resumen y conclusiones</w:t>
      </w:r>
    </w:p>
    <w:p>
      <w:pPr>
        <w:pStyle w:val="ListParagraph"/>
        <w:numPr>
          <w:ilvl w:val="0"/>
          <w:numId w:val="2"/>
        </w:numPr>
        <w:spacing w:after="60"/>
      </w:pPr>
      <w:r>
        <w:t xml:space="preserve">En todas las variables, excepto units_sold del nivel micro, la media es mayor que la mediana, lo que confirma el sesgo a la derecha.</w:t>
      </w:r>
    </w:p>
    <w:p>
      <w:pPr>
        <w:pStyle w:val="ListParagraph"/>
        <w:numPr>
          <w:ilvl w:val="0"/>
          <w:numId w:val="2"/>
        </w:numPr>
        <w:spacing w:after="60"/>
      </w:pPr>
      <w:r>
        <w:t xml:space="preserve">Annual_Total_Spend tiene una desviación estándar mayor que su media: el gasto de los clientes es muy desigual.</w:t>
      </w:r>
    </w:p>
    <w:p>
      <w:pPr>
        <w:pStyle w:val="ListParagraph"/>
        <w:numPr>
          <w:ilvl w:val="0"/>
          <w:numId w:val="2"/>
        </w:numPr>
        <w:spacing w:after="60"/>
      </w:pPr>
      <w:r>
        <w:t xml:space="preserve">El cumplimiento mediano es de 12.01%: la mitad de los registros mensuales vende menos del 12% de lo esperado.</w:t>
      </w:r>
    </w:p>
    <w:p>
      <w:pPr>
        <w:pStyle w:val="ListParagraph"/>
        <w:numPr>
          <w:ilvl w:val="0"/>
          <w:numId w:val="2"/>
        </w:numPr>
        <w:spacing w:after="60"/>
      </w:pPr>
      <w:r>
        <w:t xml:space="preserve">La cobertura mediana de 266.59 días indica sobrestock generalizado.</w:t>
      </w:r>
    </w:p>
    <w:p>
      <w:pPr>
        <w:spacing w:after="120"/>
      </w:pPr>
      <w:r>
        <w:t xml:space="preserve">Realizó: </w:t>
      </w:r>
      <w:r>
        <w:rPr>
          <w:b/>
          <w:bCs/>
          <w:highlight w:val="yellow"/>
          <w:highlightCs w:val="yellow"/>
        </w:rPr>
        <w:t xml:space="preserve">[nombre de quien hizo este punto]</w:t>
      </w:r>
    </w:p>
    <w:p>
      <w:pPr>
        <w:pStyle w:val="Heading1"/>
        <w:spacing w:after="120" w:before="240"/>
      </w:pPr>
      <w:r>
        <w:t xml:space="preserve">VII. Resumen de resultados de histogramas y boxplots</w:t>
      </w:r>
    </w:p>
    <w:p>
      <w:pPr>
        <w:pStyle w:val="ListParagraph"/>
        <w:numPr>
          <w:ilvl w:val="0"/>
          <w:numId w:val="2"/>
        </w:numPr>
        <w:spacing w:after="60"/>
      </w:pPr>
      <w:r>
        <w:t xml:space="preserve">Ninguna variable continua es normal: todas presentan sesgo a la derecha, y los valores fuera de ±3.5σ son menos del 1.5% de los datos.</w:t>
      </w:r>
    </w:p>
    <w:p>
      <w:pPr>
        <w:pStyle w:val="ListParagraph"/>
        <w:numPr>
          <w:ilvl w:val="0"/>
          <w:numId w:val="2"/>
        </w:numPr>
        <w:spacing w:after="60"/>
      </w:pPr>
      <w:r>
        <w:t xml:space="preserve">La canasta típica es de 1–2 piezas (80.99% de las transacciones) y el ticket mediano es de $109.66.</w:t>
      </w:r>
    </w:p>
    <w:p>
      <w:pPr>
        <w:pStyle w:val="ListParagraph"/>
        <w:numPr>
          <w:ilvl w:val="0"/>
          <w:numId w:val="2"/>
        </w:numPr>
        <w:spacing w:after="60"/>
      </w:pPr>
      <w:r>
        <w:t xml:space="preserve">DanuStore solo vende en promedio el 15.69% de las unidades esperadas por producto-región-mes (16–17% al sumar todo el mes) y su inventario cubre en promedio 289 días: existe una sobreestimación sistemática de la demanda.</w:t>
      </w:r>
    </w:p>
    <w:p>
      <w:pPr>
        <w:pStyle w:val="ListParagraph"/>
        <w:numPr>
          <w:ilvl w:val="0"/>
          <w:numId w:val="2"/>
        </w:numPr>
        <w:spacing w:after="60"/>
      </w:pPr>
      <w:r>
        <w:t xml:space="preserve">Ciudad de México, Monterrey y Guadalajara concentran el 73.64% de las transacciones y tienen el mejor cumplimiento mediano (33.29%, 22.44% y 17.41%); Sureste tiene una mediana de solo 6.58% y su inventario cubre 472 días.</w:t>
      </w:r>
    </w:p>
    <w:p>
      <w:pPr>
        <w:pStyle w:val="ListParagraph"/>
        <w:numPr>
          <w:ilvl w:val="0"/>
          <w:numId w:val="2"/>
        </w:numPr>
        <w:spacing w:after="60"/>
      </w:pPr>
      <w:r>
        <w:t xml:space="preserve">El 92.36% de las transacciones son de clientes Básico y Silver; el programa de lealtad tiene poca penetración en Gold y Premium.</w:t>
      </w:r>
    </w:p>
    <w:p>
      <w:pPr>
        <w:pStyle w:val="ListParagraph"/>
        <w:numPr>
          <w:ilvl w:val="0"/>
          <w:numId w:val="2"/>
        </w:numPr>
        <w:spacing w:after="60"/>
      </w:pPr>
      <w:r>
        <w:t xml:space="preserve">El nivel socioeconómico es el principal diferenciador del valor del cliente: el gasto anual mediano sube de $1,769.32 (Bajo) a $41,275.52 (Alto) por mayor frecuencia de compra (3 vs. 12 compras al año), no por un ticket más alto.</w:t>
      </w:r>
    </w:p>
    <w:p>
      <w:pPr>
        <w:pStyle w:val="ListParagraph"/>
        <w:numPr>
          <w:ilvl w:val="0"/>
          <w:numId w:val="2"/>
        </w:numPr>
        <w:spacing w:after="60"/>
      </w:pPr>
      <w:r>
        <w:t xml:space="preserve">El 61.95% de los clientes tiene entre 25 y 54 años; el rango 35-44 es el que más vende (22.99%), pero la edad no cambia el comportamiento: todos los rangos gastan ~$7,000 por cliente.</w:t>
      </w:r>
    </w:p>
    <w:p>
      <w:pPr>
        <w:pStyle w:val="ListParagraph"/>
        <w:numPr>
          <w:ilvl w:val="0"/>
          <w:numId w:val="2"/>
        </w:numPr>
        <w:spacing w:after="60"/>
      </w:pPr>
      <w:r>
        <w:t xml:space="preserve">El programa de lealtad sí distingue a los clientes de mayor valor: el gasto anual mediano va de $2,938.50 (Básico) a $57,971.16 (Premium).</w:t>
      </w:r>
    </w:p>
    <w:p>
      <w:pPr>
        <w:pStyle w:val="ListParagraph"/>
        <w:numPr>
          <w:ilvl w:val="0"/>
          <w:numId w:val="2"/>
        </w:numPr>
        <w:spacing w:after="60"/>
      </w:pPr>
      <w:r>
        <w:t xml:space="preserve">En 2025 la proyección y el stock subieron ~6.3% mientras las ventas solo 0.29%; se recomienda proyectar con ventas históricas e incorporar la estacionalidad.</w:t>
      </w:r>
    </w:p>
    <w:p>
      <w:pPr>
        <w:pStyle w:val="Heading1"/>
        <w:spacing w:after="120" w:before="240"/>
      </w:pPr>
      <w:r>
        <w:t xml:space="preserve">VIII. Contribución individual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6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Variables / secciones (código y documento)</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Jaime Hernández González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Creación y análisis de Rango_Edad (código, gráficas, interpretación); análisis Stock vs. Esperado vs. Vendido; actualización de la sección I; cruce de Rango_Edad en la sección 5.2; redacción de estas secciones.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André Alberto Navarro de la Parra</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Felix Samuel Vargas Mar</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Aldahir Zarazúa Núñez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Javier Alejandro Padilla Matus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bl>
    <w:p>
      <w:pPr>
        <w:pStyle w:val="Heading1"/>
        <w:spacing w:after="120" w:before="240"/>
      </w:pPr>
      <w:r>
        <w:t xml:space="preserve">IX. Anexos</w:t>
      </w:r>
    </w:p>
    <w:p>
      <w:pPr>
        <w:pStyle w:val="ListParagraph"/>
        <w:numPr>
          <w:ilvl w:val="0"/>
          <w:numId w:val="2"/>
        </w:numPr>
        <w:spacing w:after="60"/>
      </w:pPr>
      <w:r>
        <w:t xml:space="preserve">Notebook Colab (.ipynb): </w:t>
      </w:r>
      <w:r>
        <w:rPr>
          <w:b/>
          <w:bCs/>
          <w:highlight w:val="yellow"/>
          <w:highlightCs w:val="yellow"/>
        </w:rPr>
        <w:t xml:space="preserve">[liga]</w:t>
      </w:r>
      <w:r>
        <w:t xml:space="preserve"> – TI3002C_Etapa 4.2_Equipo 6.ipynb</w:t>
      </w:r>
    </w:p>
    <w:p>
      <w:pPr>
        <w:pStyle w:val="ListParagraph"/>
        <w:numPr>
          <w:ilvl w:val="0"/>
          <w:numId w:val="2"/>
        </w:numPr>
        <w:spacing w:after="60"/>
      </w:pPr>
      <w:r>
        <w:t xml:space="preserve">Liga del Colab: </w:t>
      </w:r>
      <w:r>
        <w:rPr>
          <w:b/>
          <w:bCs/>
          <w:highlight w:val="yellow"/>
          <w:highlightCs w:val="yellow"/>
        </w:rPr>
        <w:t xml:space="preserve">[liga]</w:t>
      </w:r>
    </w:p>
    <w:p>
      <w:pPr>
        <w:pStyle w:val="ListParagraph"/>
        <w:numPr>
          <w:ilvl w:val="0"/>
          <w:numId w:val="2"/>
        </w:numPr>
        <w:spacing w:after="60"/>
      </w:pPr>
      <w:r>
        <w:t xml:space="preserve">PDF del notebook: </w:t>
      </w:r>
      <w:r>
        <w:rPr>
          <w:b/>
          <w:bCs/>
          <w:highlight w:val="yellow"/>
          <w:highlightCs w:val="yellow"/>
        </w:rPr>
        <w:t xml:space="preserve">[nombre del PDF]</w:t>
      </w:r>
    </w:p>
    <w:p>
      <w:pPr>
        <w:pStyle w:val="ListParagraph"/>
        <w:numPr>
          <w:ilvl w:val="0"/>
          <w:numId w:val="2"/>
        </w:numPr>
        <w:spacing w:after="60"/>
      </w:pPr>
      <w:r>
        <w:t xml:space="preserve">Carpeta de Google Drive con la base de datos: </w:t>
      </w:r>
      <w:r>
        <w:rPr>
          <w:b/>
          <w:bCs/>
          <w:highlight w:val="yellow"/>
          <w:highlightCs w:val="yellow"/>
        </w:rPr>
        <w:t xml:space="preserve">[liga]</w:t>
      </w:r>
    </w:p>
    <w:p>
      <w:pPr>
        <w:pStyle w:val="ListParagraph"/>
        <w:numPr>
          <w:ilvl w:val="0"/>
          <w:numId w:val="2"/>
        </w:numPr>
        <w:spacing w:after="60"/>
      </w:pPr>
      <w:r>
        <w:t xml:space="preserve">Diccionario de Datos: Diccionario de Datos DanuStore - Equipo 6.xlsx</w:t>
      </w:r>
    </w:p>
    <w:p>
      <w:pPr>
        <w:pStyle w:val="Heading1"/>
        <w:spacing w:after="120" w:before="240"/>
      </w:pPr>
      <w:r>
        <w:t xml:space="preserve">X. Referencias</w:t>
      </w:r>
    </w:p>
    <w:p>
      <w:pPr>
        <w:spacing w:after="100"/>
        <w:ind w:left="720" w:hanging="720"/>
      </w:pPr>
      <w:r>
        <w:t xml:space="preserve">Danu Analítica - Business Intelligence &amp; Machine Learning. (s. f.). https://www.danuanalitica.com/#nosotros</w:t>
      </w:r>
    </w:p>
    <w:p>
      <w:pPr>
        <w:spacing w:after="100"/>
        <w:ind w:left="720" w:hanging="720"/>
      </w:pPr>
      <w:r>
        <w:t xml:space="preserve">Danu Analítica. (2026, 14 agosto). Danu analitica | LinkedIn. https://www.linkedin.com/company/danuanalitica/</w:t>
      </w:r>
    </w:p>
    <w:p>
      <w:pPr>
        <w:spacing w:after="100"/>
        <w:ind w:left="720" w:hanging="720"/>
      </w:pPr>
      <w:r>
        <w:t xml:space="preserve">Danu Analítica. (s. f.). Tec Semestre 2026. (Presentación de Socioformador)</w:t>
      </w:r>
    </w:p>
    <w:p>
      <w:pPr>
        <w:spacing w:after="100"/>
        <w:ind w:left="720" w:hanging="720"/>
      </w:pPr>
      <w:r>
        <w:t xml:space="preserve">Danu Consulting. (2026). Misión de Danu Consulting. Facebook. https://www.facebook.com/photo?fbid=1013618514881173&amp;set=pcb.1013618551547836</w:t>
      </w:r>
    </w:p>
    <w:p>
      <w:pPr>
        <w:spacing w:after="100"/>
        <w:ind w:left="720" w:hanging="720"/>
      </w:pPr>
      <w:r>
        <w:t xml:space="preserve">Google Gemini. (2026). Gemini [Modelo 3.7 Flash]. https://gemini.google.com</w:t>
      </w:r>
    </w:p>
    <w:p>
      <w:pPr>
        <w:spacing w:after="100"/>
        <w:ind w:left="720" w:hanging="720"/>
      </w:pPr>
      <w:r>
        <w:t xml:space="preserve">Lucidchart. (s. f.). https://lucid.app/</w:t>
      </w:r>
    </w:p>
    <w:p>
      <w:pPr>
        <w:spacing w:after="100"/>
        <w:ind w:left="720" w:hanging="720"/>
      </w:pPr>
      <w:r>
        <w:t xml:space="preserve">Microsoft. (2023). Power BI [Software]. Microsoft Corporation. https://powerbi.microsoft.com/</w:t>
      </w:r>
    </w:p>
    <w:p>
      <w:pPr>
        <w:spacing w:after="100"/>
        <w:ind w:left="720" w:hanging="720"/>
      </w:pPr>
      <w:r>
        <w:t xml:space="preserve">Mondragon, H. (2025, 27 octubre). Danu Analítica: el poder de los datos al servicio de las empresas mexicanas. PRO Network. https://www.pronetwork.mx/danu-analitica-el-poder-de-los-datos-al-servicio-de-las-empresas-mexicanas/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30"/>
      <w:szCs w:val="30"/>
    </w:rPr>
  </w:style>
  <w:style w:type="paragraph" w:styleId="Heading2">
    <w:name w:val="Heading 2"/>
    <w:basedOn w:val="Normal"/>
    <w:next w:val="Normal"/>
    <w:qFormat/>
    <w:pPr>
      <w:outlineLvl w:val="1"/>
    </w:pPr>
    <w:rPr>
      <w:b/>
      <w:bCs/>
      <w:color w:val="2E75B6"/>
      <w:sz w:val="25"/>
      <w:szCs w:val="25"/>
    </w:rPr>
  </w:style>
  <w:style w:type="paragraph" w:styleId="Heading3">
    <w:name w:val="Heading 3"/>
    <w:basedOn w:val="Normal"/>
    <w:next w:val="Normal"/>
    <w:qFormat/>
    <w:pPr>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674b986737767665e08664df0d19a0164dec2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2026-10-04T20:24:42.491Z</dcterms:created>
  <dcterms:modified xsi:type="dcterms:W3CDTF">2026-10-04T20:24:42.492Z</dcterms:modified>
</cp:coreProperties>
</file>

<file path=docProps/custom.xml><?xml version="1.0" encoding="utf-8"?>
<Properties xmlns="http://schemas.openxmlformats.org/officeDocument/2006/custom-properties" xmlns:vt="http://schemas.openxmlformats.org/officeDocument/2006/docPropsVTypes"/>
</file>