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[Revisar en el código: clientes_por_rango]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[Revisar en el código: %]</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(hasta Sandals, 74.10% acumulado)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(36.85%) + App (19.89%) ya suman 56.74%.</w:t>
      </w:r>
    </w:p>
    <w:p>
      <w:pPr>
        <w:pStyle w:val="ListParagraph"/>
        <w:numPr>
          <w:ilvl w:val="0"/>
          <w:numId w:val="2"/>
        </w:numPr>
        <w:spacing w:after="60"/>
      </w:pPr>
      <w:r>
        <w:rPr>
          <w:b/>
          <w:bCs/>
        </w:rPr>
        <w:t xml:space="preserve">Socioeconomic_Level:</w:t>
      </w:r>
      <w:r>
        <w:t xml:space="preserve"> el 84.03% de las transacciones vienen de niveles Medio, Medio-Bajo y Bajo; Alto solo representa 3.23%.</w:t>
      </w:r>
    </w:p>
    <w:p>
      <w:pPr>
        <w:pStyle w:val="ListParagraph"/>
        <w:numPr>
          <w:ilvl w:val="0"/>
          <w:numId w:val="2"/>
        </w:numPr>
        <w:spacing w:after="60"/>
      </w:pPr>
      <w:r>
        <w:rPr>
          <w:b/>
          <w:bCs/>
        </w:rPr>
        <w:t xml:space="preserve">Rango_Edad:</w:t>
      </w:r>
      <w:r>
        <w:t xml:space="preserve"> analizado por clientes únicos; 35-44 es el rango con más clientes. </w:t>
      </w:r>
      <w:r>
        <w:rPr>
          <w:b/>
          <w:bCs/>
          <w:highlight w:val="yellow"/>
          <w:highlightCs w:val="yellow"/>
        </w:rPr>
        <w:t xml:space="preserve">[Revisar en el código: número y % de clientes por rango con print(clientes_por_rango)]</w:t>
      </w:r>
      <w:r>
        <w:t xml:space="preserve"> En ventas: 35-44 genera $72.84 M (23.0% del total), 25-34 $64.51 M (20.4%), 45-54 $58.33 M (18.4%), 65+ $42.14 M (13.3%), 18-24 $39.66 M (12.5%) y 55-64 $39.34 M (12.4%).</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Q1 = 3, mediana 5 y Q3 = 8. El 50% central de los registros compra entre 3 y 8 veces al año, y la media es mayor que la mediana (sesgo a la derecha): pocos clientes compran muchas veces. </w:t>
      </w:r>
      <w:r>
        <w:rPr>
          <w:b/>
          <w:bCs/>
        </w:rPr>
        <w:t xml:space="preserve">Valor más frecuente:</w:t>
      </w:r>
      <w:r>
        <w:t xml:space="preserve"> [[Revisar en el código: moda y tabla de frecuencias con analisis_frecuencia(data_DanuStore_Diario, ['Annual_Purchase_Frequency'], Ordenar_Valor=True)]]</w:t>
      </w:r>
    </w:p>
    <w:p>
      <w:pPr>
        <w:spacing w:after="120"/>
      </w:pP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 y boxplots)</w:t>
      </w:r>
    </w:p>
    <w:p>
      <w:pPr>
        <w:spacing w:after="120"/>
      </w:pPr>
      <w:r>
        <w:t xml:space="preserve">En los histogramas se graficaron la media, ±1σ, ±3.5σ y la distribución normal teórica. En los boxplots se usó escala logarítmica cuando la asimetría es mayor a 2. El límite de outliers se calcula como Q3 + 1.5·IQR.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El 50% central está entre $67.05 (Q1) y $173.80 (Q3); media &gt; mediana ($109.66), sesgo a la derecha. Outliers a partir de $333.93; 12,002 transacciones (0.50%) fuera de ±3.5σ. Máximo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El 50% central está entre $2,654.40 y $14,675.08; mediana $6,718.08, fuerte sesgo a la derecha. Outliers a partir de $32,706.10; 34,833 registros (1.45%) fuera de ±3.5σ. Máximo $118,710.24.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El 50% central está entre 8.11% y 21.25%; mediana 12.01%. Outliers a partir de 40.96%; 22 registros (0.10%) fuera de ±3.5σ y 0 atípicos extremos (&gt; 3 IQR). Máximo 57.81%.</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El 50% central está entre 165.30 y 383.27 días; mediana 266.59. Outliers a partir de 710.23 días; 93 registros (0.43%) fuera de ±3.5σ y 16 atípicos extremos (0.07%). Máximo 1,377.41 días.</w:t>
            </w:r>
          </w:p>
        </w:tc>
      </w:tr>
    </w:tbl>
    <w:p>
      <w:pPr>
        <w:spacing w:after="120"/>
      </w:pPr>
      <w:r>
        <w:t xml:space="preserve">Intervalos más frecuentes de cada histograma: </w:t>
      </w:r>
      <w:r>
        <w:rPr>
          <w:b/>
          <w:bCs/>
          <w:highlight w:val="yellow"/>
          <w:highlightCs w:val="yellow"/>
        </w:rPr>
        <w:t xml:space="preserve">[Revisar en el código: leer la barra más alta de cada histograma]</w:t>
      </w:r>
    </w:p>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p>
      <w:pPr>
        <w:pStyle w:val="ListParagraph"/>
        <w:numPr>
          <w:ilvl w:val="0"/>
          <w:numId w:val="2"/>
        </w:numPr>
        <w:spacing w:after="60"/>
      </w:pPr>
      <w:r>
        <w:rPr>
          <w:b/>
          <w:bCs/>
        </w:rPr>
        <w:t xml:space="preserve">region – units_sold y sales_amount:</w:t>
      </w:r>
      <w:r>
        <w:t xml:space="preserve"> jerarquía clara en ambas variables: Ciudad de México tiene la mediana más alta, seguida de Monterrey y Guadalajara; Bajío, Noroeste, Sur y Sureste venden mucho menos (Sureste es la más baja). Todas las regiones presentan outliers en la parte alta. </w:t>
      </w:r>
      <w:r>
        <w:rPr>
          <w:b/>
          <w:bCs/>
          <w:highlight w:val="yellow"/>
          <w:highlightCs w:val="yellow"/>
        </w:rPr>
        <w:t xml:space="preserve">[Revisar en el código: medianas y límites de outliers por región]</w:t>
      </w:r>
    </w:p>
    <w:p>
      <w:pPr>
        <w:pStyle w:val="ListParagraph"/>
        <w:numPr>
          <w:ilvl w:val="0"/>
          <w:numId w:val="2"/>
        </w:numPr>
        <w:spacing w:after="60"/>
      </w:pPr>
      <w:r>
        <w:rPr>
          <w:b/>
          <w:bCs/>
        </w:rPr>
        <w:t xml:space="preserve">region – Cumplimiento_Venta_Esperada:</w:t>
      </w:r>
      <w:r>
        <w:t xml:space="preserve"> mismo orden: Ciudad de México tiene el cumplimiento más alto y Sureste el más bajo. Las regiones pequeñas son las peor planeadas. </w:t>
      </w:r>
      <w:r>
        <w:rPr>
          <w:b/>
          <w:bCs/>
          <w:highlight w:val="yellow"/>
          <w:highlightCs w:val="yellow"/>
        </w:rPr>
        <w:t xml:space="preserve">[Revisar en el código: medianas por región]</w:t>
      </w:r>
    </w:p>
    <w:p>
      <w:pPr>
        <w:pStyle w:val="ListParagraph"/>
        <w:numPr>
          <w:ilvl w:val="0"/>
          <w:numId w:val="2"/>
        </w:numPr>
        <w:spacing w:after="60"/>
      </w:pPr>
      <w:r>
        <w:rPr>
          <w:b/>
          <w:bCs/>
        </w:rPr>
        <w:t xml:space="preserve">region – Dias_Cobertura_Inventario:</w:t>
      </w:r>
      <w:r>
        <w:t xml:space="preserve"> comportamiento inverso: Ciudad de México tiene la menor cobertura y Sureste la mayor, con outliers que llegan hasta el máximo de 1,377 días. </w:t>
      </w:r>
      <w:r>
        <w:rPr>
          <w:b/>
          <w:bCs/>
        </w:rPr>
        <w:t xml:space="preserve">Conclusión:</w:t>
      </w:r>
      <w:r>
        <w:t xml:space="preserve"> las regiones con menos venta reciben inventario proporcionalmente excesivo; conviene redistribuirlo hacia las zonas metropolitanas. </w:t>
      </w:r>
      <w:r>
        <w:rPr>
          <w:b/>
          <w:bCs/>
          <w:highlight w:val="yellow"/>
          <w:highlightCs w:val="yellow"/>
        </w:rPr>
        <w:t xml:space="preserve">[Revisar en el código: medianas por región]</w:t>
      </w:r>
    </w:p>
    <w:p>
      <w:pPr>
        <w:pStyle w:val="ListParagraph"/>
        <w:numPr>
          <w:ilvl w:val="0"/>
          <w:numId w:val="2"/>
        </w:numPr>
        <w:spacing w:after="60"/>
      </w:pPr>
      <w:r>
        <w:rPr>
          <w:b/>
          <w:bCs/>
          <w:highlight w:val="yellow"/>
          <w:highlightCs w:val="yellow"/>
        </w:rPr>
        <w:t xml:space="preserve">[Revisar en el código: category y subcategory – las 4 variables]</w:t>
      </w:r>
    </w:p>
    <w:p>
      <w:pPr>
        <w:pStyle w:val="Heading2"/>
        <w:spacing w:after="100" w:before="180"/>
      </w:pPr>
      <w:r>
        <w:t xml:space="preserve">5.2 Nivel Micro (6 cualitativas + Rango_Edad)</w:t>
      </w:r>
    </w:p>
    <w:p>
      <w:pPr>
        <w:pStyle w:val="ListParagraph"/>
        <w:numPr>
          <w:ilvl w:val="0"/>
          <w:numId w:val="2"/>
        </w:numPr>
        <w:spacing w:after="60"/>
      </w:pPr>
      <w:r>
        <w:rPr>
          <w:b/>
          <w:bCs/>
          <w:highlight w:val="yellow"/>
          <w:highlightCs w:val="yellow"/>
        </w:rPr>
        <w:t xml:space="preserve">[Revisar en el código: category, subcategory, region, Client_Category, Preferred_Channel]</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la mediana aumenta en cada nivel, de Bajo (la más baja) a Alto (la más alta). Todos los niveles tienen outliers en la parte alta. </w:t>
      </w:r>
      <w:r>
        <w:rPr>
          <w:b/>
          <w:bCs/>
          <w:highlight w:val="yellow"/>
          <w:highlightCs w:val="yellow"/>
        </w:rPr>
        <w:t xml:space="preserve">[Revisar en el código: medianas por nivel]</w:t>
      </w:r>
    </w:p>
    <w:p>
      <w:pPr>
        <w:pStyle w:val="ListParagraph"/>
        <w:numPr>
          <w:ilvl w:val="0"/>
          <w:numId w:val="2"/>
        </w:numPr>
        <w:spacing w:after="60"/>
      </w:pPr>
      <w:r>
        <w:rPr>
          <w:b/>
          <w:bCs/>
        </w:rPr>
        <w:t xml:space="preserve">Socioeconomic_Level – sales_amount:</w:t>
      </w:r>
      <w:r>
        <w:t xml:space="preserve"> el ticket por transacción es muy similar en todos los niveles, con outliers en la parte alta en todos. </w:t>
      </w:r>
      <w:r>
        <w:rPr>
          <w:b/>
          <w:bCs/>
          <w:highlight w:val="yellow"/>
          <w:highlightCs w:val="yellow"/>
        </w:rPr>
        <w:t xml:space="preserve">[Revisar en el código: medianas y límite de outliers]</w:t>
      </w:r>
    </w:p>
    <w:p>
      <w:pPr>
        <w:pStyle w:val="ListParagraph"/>
        <w:numPr>
          <w:ilvl w:val="0"/>
          <w:numId w:val="2"/>
        </w:numPr>
        <w:spacing w:after="60"/>
      </w:pPr>
      <w:r>
        <w:rPr>
          <w:b/>
          <w:bCs/>
        </w:rPr>
        <w:t xml:space="preserve">Socioeconomic_Level – Annual_Total_Spend (escala log):</w:t>
      </w:r>
      <w:r>
        <w:t xml:space="preserve"> fuerte gradiente: el gasto anual sube en cada nivel, de Bajo a Alto. </w:t>
      </w:r>
      <w:r>
        <w:rPr>
          <w:b/>
          <w:bCs/>
        </w:rPr>
        <w:t xml:space="preserve">Conclusión:</w:t>
      </w:r>
      <w:r>
        <w:t xml:space="preserve"> los clientes de nivel alto no gastan más por compra, sino que compran con mayor frecuencia. </w:t>
      </w:r>
      <w:r>
        <w:rPr>
          <w:b/>
          <w:bCs/>
          <w:highlight w:val="yellow"/>
          <w:highlightCs w:val="yellow"/>
        </w:rPr>
        <w:t xml:space="preserve">[Revisar en el código: medianas por nivel]</w:t>
      </w:r>
    </w:p>
    <w:p>
      <w:pPr>
        <w:pStyle w:val="ListParagraph"/>
        <w:numPr>
          <w:ilvl w:val="0"/>
          <w:numId w:val="2"/>
        </w:numPr>
        <w:spacing w:after="60"/>
      </w:pPr>
      <w:r>
        <w:rPr>
          <w:b/>
          <w:bCs/>
        </w:rPr>
        <w:t xml:space="preserve">Rango_Edad:</w:t>
      </w:r>
      <w:r>
        <w:t xml:space="preserve"> las cuatro variables (units_sold, Annual_Purchase_Frequency, sales_amount, Annual_Total_Spend) tienen distribuciones prácticamente iguales en todos los rangos, y todos presentan outliers de sales_amount en la parte alta.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En todos los meses de 2024 y 2025 las unidades vendidas son muy inferiores a la demanda esperada y al stock; en el nivel macro el cumplimiento promedio es de 15.69%.</w:t>
      </w:r>
    </w:p>
    <w:p>
      <w:pPr>
        <w:pStyle w:val="ListParagraph"/>
        <w:numPr>
          <w:ilvl w:val="0"/>
          <w:numId w:val="2"/>
        </w:numPr>
        <w:spacing w:after="60"/>
      </w:pPr>
      <w:r>
        <w:t xml:space="preserve">El stock es mayor que la demanda esperada en todos los meses.</w:t>
      </w:r>
    </w:p>
    <w:p>
      <w:pPr>
        <w:pStyle w:val="ListParagraph"/>
        <w:numPr>
          <w:ilvl w:val="0"/>
          <w:numId w:val="2"/>
        </w:numPr>
        <w:spacing w:after="60"/>
      </w:pPr>
      <w:r>
        <w:t xml:space="preserve">En enero de 2025 la demanda esperada y el stock suben de nivel, mientras que las ventas se mantienen en un nivel similar al de 2024.</w:t>
      </w:r>
    </w:p>
    <w:p>
      <w:pPr>
        <w:pStyle w:val="ListParagraph"/>
        <w:numPr>
          <w:ilvl w:val="0"/>
          <w:numId w:val="2"/>
        </w:numPr>
        <w:spacing w:after="60"/>
      </w:pPr>
      <w:r>
        <w:t xml:space="preserve">Las ventas tienen picos en noviembre y diciembre, mientras que la demanda esperada se mantiene casi plana.</w:t>
      </w:r>
    </w:p>
    <w:p>
      <w:pPr>
        <w:pStyle w:val="ListParagraph"/>
        <w:numPr>
          <w:ilvl w:val="0"/>
          <w:numId w:val="2"/>
        </w:numPr>
        <w:spacing w:after="60"/>
      </w:pPr>
      <w:r>
        <w:rPr>
          <w:b/>
          <w:bCs/>
          <w:highlight w:val="yellow"/>
          <w:highlightCs w:val="yellow"/>
        </w:rPr>
        <w:t xml:space="preserve">[Revisar en el código: cifras mensuales exactas en la tabla print(por_mes)]</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las regiones pequeñas (sobre todo Sureste) acumulan el sobrestock.</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sube de Bajo a Alto por mayor frecuencia de compra, no por un ticket más alto.</w:t>
      </w:r>
    </w:p>
    <w:p>
      <w:pPr>
        <w:pStyle w:val="ListParagraph"/>
        <w:numPr>
          <w:ilvl w:val="0"/>
          <w:numId w:val="2"/>
        </w:numPr>
        <w:spacing w:after="60"/>
      </w:pPr>
      <w:r>
        <w:t xml:space="preserve">La edad no cambia el comportamiento de compra: todos los rangos tienen distribuciones casi idénticas; el rango 35-44 es el que más vende (23.0% de las ventas).</w:t>
      </w:r>
    </w:p>
    <w:p>
      <w:pPr>
        <w:pStyle w:val="ListParagraph"/>
        <w:numPr>
          <w:ilvl w:val="0"/>
          <w:numId w:val="2"/>
        </w:numPr>
        <w:spacing w:after="60"/>
      </w:pPr>
      <w:r>
        <w:t xml:space="preserve">En 2025 aumentaron la proyección y el stock sin que aumentaran las ventas;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2026-10-04T20:09:34.167Z</dcterms:created>
  <dcterms:modified xsi:type="dcterms:W3CDTF">2026-10-04T20:09:34.168Z</dcterms:modified>
</cp:coreProperties>
</file>

<file path=docProps/custom.xml><?xml version="1.0" encoding="utf-8"?>
<Properties xmlns="http://schemas.openxmlformats.org/officeDocument/2006/custom-properties" xmlns:vt="http://schemas.openxmlformats.org/officeDocument/2006/docPropsVTypes"/>
</file>