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56"/>
          <w:szCs w:val="56"/>
        </w:rPr>
        <w:t xml:space="preserve">Estadística descriptiva</w:t>
      </w:r>
    </w:p>
    <w:p>
      <w:pPr>
        <w:spacing w:after="200"/>
        <w:jc w:val="center"/>
      </w:pPr>
      <w:r>
        <w:rPr>
          <w:sz w:val="26"/>
          <w:szCs w:val="26"/>
        </w:rPr>
        <w:t xml:space="preserve">TI3002C – Etapa 4.2: Medidas descriptivas y caracterización gráfica</w:t>
      </w:r>
    </w:p>
    <w:p>
      <w:pPr>
        <w:jc w:val="center"/>
      </w:pPr>
      <w:r>
        <w:rPr>
          <w:b/>
          <w:bCs/>
          <w:sz w:val="28"/>
          <w:szCs w:val="28"/>
        </w:rPr>
        <w:t xml:space="preserve">Equipo 6 – </w:t>
      </w:r>
      <w:r>
        <w:rPr>
          <w:b/>
          <w:bCs/>
          <w:sz w:val="28"/>
          <w:szCs w:val="28"/>
          <w:highlight w:val="yellow"/>
          <w:highlightCs w:val="yellow"/>
        </w:rPr>
        <w:t xml:space="preserve">[Nombre del equipo]</w:t>
      </w:r>
    </w:p>
    <w:p>
      <w:pPr>
        <w:spacing w:after="300"/>
        <w:jc w:val="center"/>
      </w:pPr>
      <w:r>
        <w:rPr>
          <w:sz w:val="24"/>
          <w:szCs w:val="24"/>
        </w:rPr>
        <w:t xml:space="preserve">Socio formador: DanuStore / Danu Analítica</w:t>
      </w:r>
    </w:p>
    <w:p>
      <w:pPr>
        <w:jc w:val="center"/>
      </w:pPr>
      <w:r>
        <w:rPr>
          <w:sz w:val="22"/>
          <w:szCs w:val="22"/>
        </w:rPr>
        <w:t xml:space="preserve">Analítica de datos y herramientas de inteligencia artificial (Gpo 601)</w:t>
      </w:r>
    </w:p>
    <w:p>
      <w:pPr>
        <w:spacing w:after="200"/>
        <w:jc w:val="center"/>
      </w:pPr>
      <w:r>
        <w:rPr>
          <w:sz w:val="20"/>
          <w:szCs w:val="20"/>
        </w:rPr>
        <w:t xml:space="preserve">Docentes: Ildefonso Torres Vargas, Luis Daniel Mendoza Morales, Anna Karen Gárate Escamilla, Alvaro Martínez Sánchez</w:t>
      </w:r>
    </w:p>
    <w:p>
      <w:pPr>
        <w:jc w:val="center"/>
      </w:pPr>
      <w:r>
        <w:rPr>
          <w:sz w:val="22"/>
          <w:szCs w:val="22"/>
        </w:rPr>
        <w:t xml:space="preserve">Jaime Hernández González | A00840312</w:t>
      </w:r>
    </w:p>
    <w:p>
      <w:pPr>
        <w:jc w:val="center"/>
      </w:pPr>
      <w:r>
        <w:rPr>
          <w:sz w:val="22"/>
          <w:szCs w:val="22"/>
        </w:rPr>
        <w:t xml:space="preserve">André Alberto Navarro de la Parra | A01278021</w:t>
      </w:r>
    </w:p>
    <w:p>
      <w:pPr>
        <w:jc w:val="center"/>
      </w:pPr>
      <w:r>
        <w:rPr>
          <w:sz w:val="22"/>
          <w:szCs w:val="22"/>
        </w:rPr>
        <w:t xml:space="preserve">Felix Samuel Vargas Mar | A01410658</w:t>
      </w:r>
    </w:p>
    <w:p>
      <w:pPr>
        <w:jc w:val="center"/>
      </w:pPr>
      <w:r>
        <w:rPr>
          <w:sz w:val="22"/>
          <w:szCs w:val="22"/>
        </w:rPr>
        <w:t xml:space="preserve">Aldahir Zarazúa Núñez | A01571549</w:t>
      </w:r>
    </w:p>
    <w:p>
      <w:pPr>
        <w:jc w:val="center"/>
      </w:pPr>
      <w:r>
        <w:rPr>
          <w:sz w:val="22"/>
          <w:szCs w:val="22"/>
        </w:rPr>
        <w:t xml:space="preserve">Javier Alejandro Padilla Matus | A01571744</w:t>
      </w:r>
    </w:p>
    <w:p>
      <w:pPr>
        <w:spacing w:before="300"/>
        <w:jc w:val="center"/>
      </w:pPr>
      <w:r>
        <w:rPr>
          <w:sz w:val="22"/>
          <w:szCs w:val="22"/>
        </w:rPr>
        <w:t xml:space="preserve">Instituto Tecnológico y de Estudios Superiores de Monterrey, Campus Monterrey</w:t>
      </w:r>
    </w:p>
    <w:p>
      <w:pPr>
        <w:jc w:val="center"/>
      </w:pPr>
      <w:r>
        <w:rPr>
          <w:sz w:val="22"/>
          <w:szCs w:val="22"/>
        </w:rPr>
        <w:t xml:space="preserve">4 de octubre de 2026</w:t>
      </w:r>
    </w:p>
    <w:p>
      <w:r>
        <w:br w:type="page"/>
      </w:r>
    </w:p>
    <w:p>
      <w:r>
        <w:rPr>
          <w:b/>
          <w:bCs/>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t xml:space="preserve">I. Perfil de Datos actualizado</w:t>
      </w:r>
    </w:p>
    <w:p>
      <w:pPr>
        <w:spacing w:after="120"/>
      </w:pPr>
      <w:r>
        <w:t xml:space="preserve">Tras la retroalimentación de profesores y socio formador, el análisis se realiza en dos niveles de detalle: </w:t>
      </w:r>
      <w:r>
        <w:rPr>
          <w:b/>
          <w:bCs/>
        </w:rPr>
        <w:t xml:space="preserve">Nivel Macro</w:t>
      </w:r>
      <w:r>
        <w:t xml:space="preserve"> (movimiento mensual del inventario) y </w:t>
      </w:r>
      <w:r>
        <w:rPr>
          <w:b/>
          <w:bCs/>
        </w:rPr>
        <w:t xml:space="preserve">Nivel Micro</w:t>
      </w:r>
      <w:r>
        <w:t xml:space="preserve"> (transacciones diarias). Ambos Dataframes están libres de valores nulos y duplicados.</w:t>
      </w:r>
    </w:p>
    <w:p>
      <w:pPr>
        <w:pStyle w:val="Heading2"/>
        <w:spacing w:after="100" w:before="180"/>
      </w:pPr>
      <w:r>
        <w:t xml:space="preserve">Dimensión de los 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60"/>
        <w:gridCol w:w="1900"/>
        <w:gridCol w:w="1900"/>
      </w:tblGrid>
      <w:tr>
        <w:trPr>
          <w:tblHeader/>
        </w:trPr>
        <w:tc>
          <w:tcPr>
            <w:tcW w:type="dxa" w:w="3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1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Filas</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Columnas</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data_DanuStore_Equipo6_Mensual.csv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21,840</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2,396,663</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w:t>
            </w:r>
          </w:p>
        </w:tc>
      </w:tr>
    </w:tbl>
    <w:p/>
    <w:p>
      <w:pPr>
        <w:pStyle w:val="Heading2"/>
        <w:spacing w:after="100" w:before="180"/>
      </w:pPr>
      <w:r>
        <w:t xml:space="preserve">Número de variables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160"/>
        <w:gridCol w:w="1800"/>
      </w:tblGrid>
      <w:tr>
        <w:trPr>
          <w:tblHeader/>
        </w:trPr>
        <w:tc>
          <w:tcPr>
            <w:tcW w:type="dxa" w:w="2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Cuantitativas</w:t>
            </w:r>
          </w:p>
        </w:tc>
        <w:tc>
          <w:tcPr>
            <w:tcW w:type="dxa" w:w="3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Cualitativas</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Fecha</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 (incluye product_id e inventory_key)</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19</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 (incluye identificadores)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 (date, Registration_Date)</w:t>
            </w:r>
          </w:p>
        </w:tc>
      </w:tr>
    </w:tbl>
    <w:p>
      <w:pPr>
        <w:spacing w:after="120"/>
      </w:pPr>
      <w:r>
        <w:t xml:space="preserve">Las columnas identificadoras (product_id, stock_mov_id, client_id) se convirtieron a tipo object y las fechas a datetime, para que no se traten como numéricas.</w:t>
      </w:r>
    </w:p>
    <w:p>
      <w:pPr>
        <w:pStyle w:val="Heading2"/>
        <w:spacing w:after="100" w:before="180"/>
      </w:pPr>
      <w:r>
        <w:t xml:space="preserve">Tabla de variables seleccionadas para el análisis (12 + 1 nueva)</w:t>
      </w:r>
    </w:p>
    <w:p>
      <w:pPr>
        <w:pStyle w:val="Heading3"/>
        <w:spacing w:after="80" w:before="120"/>
      </w:pPr>
      <w:r>
        <w:t xml:space="preserve">Variables cuantitativas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Tipo</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3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Piezas vendidas por transacción (micro) o por mes (macro).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Número de compras de un cliente al año.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Ingreso en pesos por transacción o por mes.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Gasto total anual del cliente.</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 units_expected × 100.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Días que alcanza el stock al ritmo de venta diaria.</w:t>
            </w:r>
          </w:p>
        </w:tc>
      </w:tr>
    </w:tbl>
    <w:p>
      <w:pPr>
        <w:pStyle w:val="Heading3"/>
        <w:spacing w:after="80" w:before="120"/>
      </w:pPr>
      <w:r>
        <w:t xml:space="preserve">Variables cualitativas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53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Categorías</w:t>
            </w:r>
          </w:p>
        </w:tc>
        <w:tc>
          <w:tcPr>
            <w:tcW w:type="dxa" w:w="53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Línea de producto (Footwear, Casual Wear, Fitness Wear, Accessories).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Tipo específico de producto (Sneakers, Pants, Bags, etc.).</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Zona geográfica de venta e inventario.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Nivel de lealtad (Básico, Silver, Gold, Premium).</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Canal preferido (Tienda física, Online, App).</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Estrato económico (Bajo a Alto).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(nueva)</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Rangos estándar Meta Ads / Google Analytics: 18-24, 25-34, 35-44, 45-54, 55-64, 65+.</w:t>
            </w:r>
          </w:p>
        </w:tc>
      </w:tr>
    </w:tbl>
    <w:p>
      <w:pPr>
        <w:pStyle w:val="Heading1"/>
        <w:spacing w:after="120" w:before="240"/>
      </w:pPr>
      <w:r>
        <w:t xml:space="preserve">II. Perfil de entidades y relaciones actualizado</w:t>
      </w:r>
    </w:p>
    <w:p>
      <w:pPr>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52725"/>
                    </a:xfrm>
                    <a:prstGeom prst="rect">
                      <a:avLst/>
                    </a:prstGeom>
                  </pic:spPr>
                </pic:pic>
              </a:graphicData>
            </a:graphic>
          </wp:inline>
        </w:drawing>
      </w:r>
    </w:p>
    <w:p>
      <w:pPr>
        <w:spacing w:after="120"/>
      </w:pPr>
      <w:r>
        <w:t xml:space="preserve">El modelo relaciona las entidades </w:t>
      </w:r>
      <w:r>
        <w:rPr>
          <w:b/>
          <w:bCs/>
        </w:rPr>
        <w:t xml:space="preserve">Producto</w:t>
      </w:r>
      <w:r>
        <w:t xml:space="preserve"> (product_id, category, subcategory, static_price), </w:t>
      </w:r>
      <w:r>
        <w:rPr>
          <w:b/>
          <w:bCs/>
        </w:rPr>
        <w:t xml:space="preserve">Cliente</w:t>
      </w:r>
      <w:r>
        <w:t xml:space="preserve"> (client_id, datos demográficos y de lealtad), </w:t>
      </w:r>
      <w:r>
        <w:rPr>
          <w:b/>
          <w:bCs/>
        </w:rPr>
        <w:t xml:space="preserve">Región</w:t>
      </w:r>
      <w:r>
        <w:t xml:space="preserve">, </w:t>
      </w:r>
      <w:r>
        <w:rPr>
          <w:b/>
          <w:bCs/>
        </w:rPr>
        <w:t xml:space="preserve">Transacción / Movimiento de stock</w:t>
      </w:r>
      <w:r>
        <w:t xml:space="preserve"> (stock_mov_id, transaction_id, date, units_sold, sales_amount) e </w:t>
      </w:r>
      <w:r>
        <w:rPr>
          <w:b/>
          <w:bCs/>
        </w:rPr>
        <w:t xml:space="preserve">Inventario mensual</w:t>
      </w:r>
      <w:r>
        <w:t xml:space="preserve"> (inventory_key = región + producto + mes + año, con units_expected, stock y las variables generadas).</w:t>
      </w:r>
    </w:p>
    <w:p>
      <w:pPr>
        <w:pStyle w:val="Heading1"/>
        <w:spacing w:after="120" w:before="240"/>
      </w:pPr>
      <w:r>
        <w:t xml:space="preserve">III. Análisis de Variables cualitativas</w:t>
      </w:r>
    </w:p>
    <w:p>
      <w:pPr>
        <w:spacing w:after="120"/>
      </w:pPr>
      <w:r>
        <w:t xml:space="preserve">Se analizaron en el Nivel Micro (2,396,663 transacciones). Para subcategory (13 categorías, más de 12) se aplicó la regla del 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160"/>
        <w:gridCol w:w="2000"/>
      </w:tblGrid>
      <w:tr>
        <w:trPr>
          <w:tblHeader/>
        </w:trPr>
        <w:tc>
          <w:tcPr>
            <w:tcW w:type="dxa" w:w="2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2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Valor más frecuente</w:t>
            </w:r>
          </w:p>
        </w:tc>
        <w:tc>
          <w:tcPr>
            <w:tcW w:type="dxa" w:w="2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695,782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29.03%</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Sneakers</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319,059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13.31%</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852,574</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35.57%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Básico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1,243,162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51.87%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Tienda física</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1,036,756</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43.26%</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742,197</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30.97%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(clientes únicos)</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35-44</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~10,400</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r>
    </w:tbl>
    <w:p>
      <w:pPr>
        <w:pStyle w:val="Heading2"/>
        <w:spacing w:after="100" w:before="180"/>
      </w:pPr>
      <w:r>
        <w:t xml:space="preserve">Hallazgos</w:t>
      </w:r>
    </w:p>
    <w:p>
      <w:pPr>
        <w:pStyle w:val="ListParagraph"/>
        <w:numPr>
          <w:ilvl w:val="0"/>
          <w:numId w:val="2"/>
        </w:numPr>
        <w:spacing w:after="60"/>
      </w:pPr>
      <w:r>
        <w:rPr>
          <w:b/>
          <w:bCs/>
        </w:rPr>
        <w:t xml:space="preserve">category:</w:t>
      </w:r>
      <w:r>
        <w:t xml:space="preserve"> la demanda está bien repartida; Footwear (29.03%) y Casual Wear (27.17%) concentran el 56.20% de las transacciones, Accessories es la menor (20.16%).</w:t>
      </w:r>
    </w:p>
    <w:p>
      <w:pPr>
        <w:pStyle w:val="ListParagraph"/>
        <w:numPr>
          <w:ilvl w:val="0"/>
          <w:numId w:val="2"/>
        </w:numPr>
        <w:spacing w:after="60"/>
      </w:pPr>
      <w:r>
        <w:rPr>
          <w:b/>
          <w:bCs/>
        </w:rPr>
        <w:t xml:space="preserve">subcategory:</w:t>
      </w:r>
      <w:r>
        <w:t xml:space="preserve"> Sneakers lidera (13.31%); con la regla del 70% se conservan 8 subcategorías y 5 se agrupan en "Otras" (Outerwear, Hats, Bags, Jewelry, Belts).</w:t>
      </w:r>
    </w:p>
    <w:p>
      <w:pPr>
        <w:pStyle w:val="ListParagraph"/>
        <w:numPr>
          <w:ilvl w:val="0"/>
          <w:numId w:val="2"/>
        </w:numPr>
        <w:spacing w:after="60"/>
      </w:pPr>
      <w:r>
        <w:rPr>
          <w:b/>
          <w:bCs/>
        </w:rPr>
        <w:t xml:space="preserve">region:</w:t>
      </w:r>
      <w:r>
        <w:t xml:space="preserve"> alta concentración: Ciudad de México (35.57%), Monterrey (22.20%) y Guadalajara (15.87%) suman el 73.64% de las transacciones.</w:t>
      </w:r>
    </w:p>
    <w:p>
      <w:pPr>
        <w:pStyle w:val="ListParagraph"/>
        <w:numPr>
          <w:ilvl w:val="0"/>
          <w:numId w:val="2"/>
        </w:numPr>
        <w:spacing w:after="60"/>
      </w:pPr>
      <w:r>
        <w:rPr>
          <w:b/>
          <w:bCs/>
        </w:rPr>
        <w:t xml:space="preserve">Client_Category:</w:t>
      </w:r>
      <w:r>
        <w:t xml:space="preserve"> el 92.36% de las transacciones son de clientes Básico (51.87%) y Silver (40.49%); Premium representa solo 0.74%.</w:t>
      </w:r>
    </w:p>
    <w:p>
      <w:pPr>
        <w:pStyle w:val="ListParagraph"/>
        <w:numPr>
          <w:ilvl w:val="0"/>
          <w:numId w:val="2"/>
        </w:numPr>
        <w:spacing w:after="60"/>
      </w:pPr>
      <w:r>
        <w:rPr>
          <w:b/>
          <w:bCs/>
        </w:rPr>
        <w:t xml:space="preserve">Preferred_Channel:</w:t>
      </w:r>
      <w:r>
        <w:t xml:space="preserve"> Tienda física (43.26%) sigue siendo el canal principal, pero Online + App ya suman 56.74%.</w:t>
      </w:r>
    </w:p>
    <w:p>
      <w:pPr>
        <w:pStyle w:val="ListParagraph"/>
        <w:numPr>
          <w:ilvl w:val="0"/>
          <w:numId w:val="2"/>
        </w:numPr>
        <w:spacing w:after="60"/>
      </w:pPr>
      <w:r>
        <w:rPr>
          <w:b/>
          <w:bCs/>
        </w:rPr>
        <w:t xml:space="preserve">Socioeconomic_Level:</w:t>
      </w:r>
      <w:r>
        <w:t xml:space="preserve"> el 84.03% de las transacciones vienen de niveles Bajo, Medio-Bajo y Medio; Alto solo representa 3.23%.</w:t>
      </w:r>
    </w:p>
    <w:p>
      <w:pPr>
        <w:pStyle w:val="ListParagraph"/>
        <w:numPr>
          <w:ilvl w:val="0"/>
          <w:numId w:val="2"/>
        </w:numPr>
        <w:spacing w:after="60"/>
      </w:pPr>
      <w:r>
        <w:rPr>
          <w:b/>
          <w:bCs/>
        </w:rPr>
        <w:t xml:space="preserve">Rango_Edad:</w:t>
      </w:r>
      <w:r>
        <w:t xml:space="preserve"> analizado por clientes únicos; 35-44 es el rango más común (~23%) y el 62% de los clientes tiene entre 25 y 54 años. En ventas, 35-44 genera $72.84 M (23.0%), 25-34 $64.51 M (20.4%) y 45-54 $58.33 M (18.4%). Todos los rangos gastan ~$7,000 por cliente.</w:t>
      </w:r>
    </w:p>
    <w:p>
      <w:pPr>
        <w:spacing w:after="120"/>
      </w:pPr>
      <w:r>
        <w:rPr>
          <w:b/>
          <w:bCs/>
          <w:highlight w:val="yellow"/>
          <w:highlightCs w:val="yellow"/>
        </w:rPr>
        <w:t xml:space="preserve">[Ajustar los % de clientes por rango con la tabla exacta de print(clientes_por_rango)]</w:t>
      </w:r>
    </w:p>
    <w:p>
      <w:pPr>
        <w:pStyle w:val="Heading1"/>
        <w:spacing w:after="120" w:before="240"/>
      </w:pPr>
      <w:r>
        <w:t xml:space="preserve">IV. Análisis de variables cuantitativas</w:t>
      </w:r>
    </w:p>
    <w:p>
      <w:pPr>
        <w:pStyle w:val="Heading2"/>
        <w:spacing w:after="100" w:before="180"/>
      </w:pPr>
      <w:r>
        <w:t xml:space="preserve">A. Tipo de variables</w:t>
      </w:r>
    </w:p>
    <w:p>
      <w:pPr>
        <w:spacing w:after="120"/>
      </w:pPr>
      <w:r>
        <w:t xml:space="preserve">Sí se tienen variables discretas y continuas en ambos niveles. </w:t>
      </w:r>
      <w:r>
        <w:rPr>
          <w:b/>
          <w:bCs/>
        </w:rPr>
        <w:t xml:space="preserve">Discretas:</w:t>
      </w:r>
      <w:r>
        <w:t xml:space="preserve"> units_sold, Annual_Purchase_Frequency. </w:t>
      </w:r>
      <w:r>
        <w:rPr>
          <w:b/>
          <w:bCs/>
        </w:rPr>
        <w:t xml:space="preserve">Continuas:</w:t>
      </w:r>
      <w:r>
        <w:t xml:space="preserve"> sales_amount, Annual_Total_Spend, Cumplimiento_Venta_Esperada, Dias_Cobertura_Inventario.</w:t>
      </w:r>
    </w:p>
    <w:p>
      <w:pPr>
        <w:pStyle w:val="Heading2"/>
        <w:spacing w:after="100" w:before="180"/>
      </w:pPr>
      <w:r>
        <w:t xml:space="preserve">B. Variables discretas</w:t>
      </w:r>
    </w:p>
    <w:p>
      <w:pPr>
        <w:pStyle w:val="Heading3"/>
        <w:spacing w:after="80" w:before="120"/>
      </w:pPr>
      <w:r>
        <w:t xml:space="preserve">units_sold (Nivel Micro)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Piezas por transacción</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881,834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1,059,283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80.99%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326,244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94.60%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98,800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4.12%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98.72%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99.75%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5,975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0.25%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Valor más frecuente:</w:t>
      </w:r>
      <w:r>
        <w:t xml:space="preserve"> 2 piezas (44.20%). El 80.99% de las transacciones son de 1 o 2 piezas; compras de 4 o más son menos del 5.4%. </w:t>
      </w:r>
      <w:r>
        <w:rPr>
          <w:b/>
          <w:bCs/>
        </w:rPr>
        <w:t xml:space="preserve">Conclusión:</w:t>
      </w:r>
      <w:r>
        <w:t xml:space="preserve"> la canasta típica es pequeña; hay oportunidad de promociones por volumen y venta cruzada.</w:t>
      </w:r>
    </w:p>
    <w:p>
      <w:pPr>
        <w:pStyle w:val="Heading3"/>
        <w:spacing w:after="80" w:before="120"/>
      </w:pPr>
      <w:r>
        <w:t xml:space="preserve">Annual_Purchase_Frequency (Nivel Micro)</w:t>
      </w:r>
    </w:p>
    <w:p>
      <w:pPr>
        <w:spacing w:after="120"/>
      </w:pPr>
      <w:r>
        <w:t xml:space="preserve">Rango de 1 a 26 compras al año; media 5.91, mediana 5 y Q3 = 8. </w:t>
      </w:r>
      <w:r>
        <w:rPr>
          <w:b/>
          <w:bCs/>
        </w:rPr>
        <w:t xml:space="preserve">Valor más frecuente:</w:t>
      </w:r>
      <w:r>
        <w:t xml:space="preserve"> 4 compras al año. La distribución tiene sesgo a la derecha: la mayoría compra entre 3 y 8 veces al año y muy pocos superan 15. </w:t>
      </w:r>
      <w:r>
        <w:rPr>
          <w:b/>
          <w:bCs/>
        </w:rPr>
        <w:t xml:space="preserve">Conclusión:</w:t>
      </w:r>
      <w:r>
        <w:t xml:space="preserve"> predominan los clientes de recurrencia media; los muy frecuentes son un grupo pequeño que conviene retener. </w:t>
      </w:r>
      <w:r>
        <w:rPr>
          <w:b/>
          <w:bCs/>
          <w:highlight w:val="yellow"/>
          <w:highlightCs w:val="yellow"/>
        </w:rPr>
        <w:t xml:space="preserve">[Confirmar frecuencias exactas con la tabla de frecuencias del notebook]</w:t>
      </w:r>
    </w:p>
    <w:p>
      <w:pPr>
        <w:pStyle w:val="Heading2"/>
        <w:spacing w:after="100" w:before="180"/>
      </w:pPr>
      <w:r>
        <w:t xml:space="preserve">C. Variables continuas (histogramas y boxplots)</w:t>
      </w:r>
    </w:p>
    <w:p>
      <w:pPr>
        <w:spacing w:after="120"/>
      </w:pPr>
      <w:r>
        <w:t xml:space="preserve">En los histogramas se graficaron la media, ±1σ y ±3.5σ, y la distribución normal teórica. En los boxplots se usó escala logarítmica cuando la asimetría es mayor a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6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Resultados de histograma y boxplot</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$132.20, σ $88.84. Los intervalos más frecuentes están entre ~$50 y ~$175 (Q1 $67.05 – Q3 $173.80). Sesgo a la derecha. Outliers a partir de ~$334 (Q3 + 1.5·IQR); 12,002 transacciones (0.50%) quedan fuera de ±3.5σ, con máximo de $1,033.92.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$10,871.76, σ $12,195.31. Fuerte sesgo a la derecha: la mayoría gasta entre $2,654 y $14,675 al año. Outliers a partir de ~$32,700; 34,833 registros (1.45%) fuera de ±3.5σ, máximo $118,710.24. Hay un grupo pequeño de clientes de muy alto valor.</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15.69%, σ 9.64. Intervalos más frecuentes entre 5% y 20% (Q1 8.11% – Q3 21.25%). Outliers a partir de ~41%; solo 22 registros (0.10%) fuera de ±3.5σ y 0 atípicos extremos. Se vende en promedio solo el 15.7% de lo esperado.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289.35 días, σ 152.04. Intervalos más frecuentes entre ~150 y ~400 días (Q1 165.30 – Q3 383.27). Outliers a partir de ~710 días; 93 registros (0.43%) fuera de ±3.5σ, máximo 1,377 días. El inventario tarda en promedio casi 10 meses en desplazarse.</w:t>
            </w:r>
          </w:p>
        </w:tc>
      </w:tr>
    </w:tbl>
    <w:p>
      <w:pPr>
        <w:pStyle w:val="Heading2"/>
        <w:spacing w:after="100" w:before="180"/>
      </w:pPr>
      <w:r>
        <w:t xml:space="preserve">D. Conclusión de histogramas y boxplots</w:t>
      </w:r>
    </w:p>
    <w:p>
      <w:pPr>
        <w:spacing w:after="120"/>
      </w:pPr>
      <w:r>
        <w:t xml:space="preserve">Ninguna variable continua sigue una distribución normal: todas tienen sesgo a la derecha, con la mayoría de los valores concentrados en la parte baja y una cola de valores altos. Los outliers son pocos (menos del 1.5% en todos los casos) y corresponden a casos reales del negocio (compras grandes, clientes de alto valor, productos con muy baja rotación), por lo que no se eliminan.</w:t>
      </w:r>
    </w:p>
    <w:p>
      <w:pPr>
        <w:pStyle w:val="Heading1"/>
        <w:spacing w:after="120" w:before="240"/>
      </w:pPr>
      <w:r>
        <w:t xml:space="preserve">V. Análisis de variables cuantitativas respecto a variables cualitativas</w:t>
      </w:r>
    </w:p>
    <w:p>
      <w:pPr>
        <w:spacing w:after="120"/>
      </w:pPr>
      <w:r>
        <w:t xml:space="preserve">Para cada variable cualitativa se graficaron boxplots de las variables cuantitativas de su mismo nivel, incluyendo una caja de "Todos los datos" como referencia. En subcategory se aplicó la regla del 70% de las unidades vendidas.</w:t>
      </w:r>
    </w:p>
    <w:p>
      <w:pPr>
        <w:pStyle w:val="Heading2"/>
        <w:spacing w:after="100" w:before="180"/>
      </w:pPr>
      <w:r>
        <w:t xml:space="preserve">5.1 Nivel Macro (category, subcategory, region)</w:t>
      </w:r>
    </w:p>
    <w:p>
      <w:pPr>
        <w:pStyle w:val="ListParagraph"/>
        <w:numPr>
          <w:ilvl w:val="0"/>
          <w:numId w:val="2"/>
        </w:numPr>
        <w:spacing w:after="60"/>
      </w:pPr>
      <w:r>
        <w:rPr>
          <w:b/>
          <w:bCs/>
        </w:rPr>
        <w:t xml:space="preserve">region – units_sold:</w:t>
      </w:r>
      <w:r>
        <w:t xml:space="preserve"> clara jerarquía: Ciudad de México tiene la mediana más alta (~510 unidades al mes por producto, Q1 ~390 – Q3 ~620), seguida de Monterrey (~320) y Guadalajara (~220); Bajío (~130), Noroeste (~90), Sur (~75) y Sureste (~60) venden mucho menos. Hay outliers en todas las regiones; en Ciudad de México a partir de ~1,000 unidades.</w:t>
      </w:r>
    </w:p>
    <w:p>
      <w:pPr>
        <w:pStyle w:val="ListParagraph"/>
        <w:numPr>
          <w:ilvl w:val="0"/>
          <w:numId w:val="2"/>
        </w:numPr>
        <w:spacing w:after="60"/>
      </w:pPr>
      <w:r>
        <w:rPr>
          <w:b/>
          <w:bCs/>
        </w:rPr>
        <w:t xml:space="preserve">region – sales_amount (escala log):</w:t>
      </w:r>
      <w:r>
        <w:t xml:space="preserve"> mismo orden que units_sold: Ciudad de México ~$30,000 de mediana mensual por producto, Monterrey ~$19,000, Guadalajara ~$13,000 y Sureste apenas ~$4,000. Las tres zonas metropolitanas generan la mayor parte del ingreso.</w:t>
      </w:r>
    </w:p>
    <w:p>
      <w:pPr>
        <w:pStyle w:val="ListParagraph"/>
        <w:numPr>
          <w:ilvl w:val="0"/>
          <w:numId w:val="2"/>
        </w:numPr>
        <w:spacing w:after="60"/>
      </w:pPr>
      <w:r>
        <w:rPr>
          <w:b/>
          <w:bCs/>
        </w:rPr>
        <w:t xml:space="preserve">region – Cumplimiento_Venta_Esperada:</w:t>
      </w:r>
      <w:r>
        <w:t xml:space="preserve"> Ciudad de México tiene el cumplimiento más alto (mediana ~33%), seguida de Monterrey (~22%) y Guadalajara (~17%); Bajío (~12%), Noroeste (~9%), Sur (~8.5%) y Sureste (~6.5%) son las peor planeadas. Outliers en Ciudad de México por arriba de ~47% y por debajo de ~20%.</w:t>
      </w:r>
    </w:p>
    <w:p>
      <w:pPr>
        <w:pStyle w:val="ListParagraph"/>
        <w:numPr>
          <w:ilvl w:val="0"/>
          <w:numId w:val="2"/>
        </w:numPr>
        <w:spacing w:after="60"/>
      </w:pPr>
      <w:r>
        <w:rPr>
          <w:b/>
          <w:bCs/>
        </w:rPr>
        <w:t xml:space="preserve">region – Dias_Cobertura_Inventario:</w:t>
      </w:r>
      <w:r>
        <w:t xml:space="preserve"> comportamiento inverso: Ciudad de México tiene la menor cobertura (~105 días) y Sureste la mayor (~470 días), con outliers a partir de ~800 y hasta ~1,380 días. </w:t>
      </w:r>
      <w:r>
        <w:rPr>
          <w:b/>
          <w:bCs/>
        </w:rPr>
        <w:t xml:space="preserve">Conclusión:</w:t>
      </w:r>
      <w:r>
        <w:t xml:space="preserve"> las regiones con menos venta reciben inventario proporcionalmente excesivo; conviene redistribuirlo hacia las zonas metropolitanas.</w:t>
      </w:r>
    </w:p>
    <w:p>
      <w:pPr>
        <w:pStyle w:val="ListParagraph"/>
        <w:numPr>
          <w:ilvl w:val="0"/>
          <w:numId w:val="2"/>
        </w:numPr>
        <w:spacing w:after="60"/>
      </w:pPr>
      <w:r>
        <w:rPr>
          <w:b/>
          <w:bCs/>
          <w:highlight w:val="yellow"/>
          <w:highlightCs w:val="yellow"/>
        </w:rPr>
        <w:t xml:space="preserve">[category y subcategory – las 4 variables: completar]</w:t>
      </w:r>
    </w:p>
    <w:p>
      <w:pPr>
        <w:pStyle w:val="Heading2"/>
        <w:spacing w:after="100" w:before="180"/>
      </w:pPr>
      <w:r>
        <w:t xml:space="preserve">5.2 Nivel Micro (6 cualitativas + Rango_Edad)</w:t>
      </w:r>
    </w:p>
    <w:p>
      <w:pPr>
        <w:pStyle w:val="ListParagraph"/>
        <w:numPr>
          <w:ilvl w:val="0"/>
          <w:numId w:val="2"/>
        </w:numPr>
        <w:spacing w:after="60"/>
      </w:pPr>
      <w:r>
        <w:rPr>
          <w:b/>
          <w:bCs/>
          <w:highlight w:val="yellow"/>
          <w:highlightCs w:val="yellow"/>
        </w:rPr>
        <w:t xml:space="preserve">[category, subcategory, region, Client_Category, Preferred_Channel: completar]</w:t>
      </w:r>
    </w:p>
    <w:p>
      <w:pPr>
        <w:pStyle w:val="ListParagraph"/>
        <w:numPr>
          <w:ilvl w:val="0"/>
          <w:numId w:val="2"/>
        </w:numPr>
        <w:spacing w:after="60"/>
      </w:pPr>
      <w:r>
        <w:rPr>
          <w:b/>
          <w:bCs/>
        </w:rPr>
        <w:t xml:space="preserve">Socioeconomic_Level – units_sold:</w:t>
      </w:r>
      <w:r>
        <w:t xml:space="preserve"> sin diferencias: en todos los niveles la caja va de 1 a 2 piezas, con outliers en 4, 5 y 6 piezas.</w:t>
      </w:r>
    </w:p>
    <w:p>
      <w:pPr>
        <w:pStyle w:val="ListParagraph"/>
        <w:numPr>
          <w:ilvl w:val="0"/>
          <w:numId w:val="2"/>
        </w:numPr>
        <w:spacing w:after="60"/>
      </w:pPr>
      <w:r>
        <w:rPr>
          <w:b/>
          <w:bCs/>
        </w:rPr>
        <w:t xml:space="preserve">Socioeconomic_Level – Annual_Purchase_Frequency:</w:t>
      </w:r>
      <w:r>
        <w:t xml:space="preserve"> aumenta claramente con el nivel: mediana de 3 compras al año en Bajo, 4 en Medio-Bajo, 7 en Medio, 9 en Medio-Alto y 12 en Alto. Outliers a partir de ~10 compras en Bajo y de ~20 en Medio-Alto.</w:t>
      </w:r>
    </w:p>
    <w:p>
      <w:pPr>
        <w:pStyle w:val="ListParagraph"/>
        <w:numPr>
          <w:ilvl w:val="0"/>
          <w:numId w:val="2"/>
        </w:numPr>
        <w:spacing w:after="60"/>
      </w:pPr>
      <w:r>
        <w:rPr>
          <w:b/>
          <w:bCs/>
        </w:rPr>
        <w:t xml:space="preserve">Socioeconomic_Level – sales_amount:</w:t>
      </w:r>
      <w:r>
        <w:t xml:space="preserve"> el ticket por transacción es casi igual en todos los niveles (mediana ~$100–120), con outliers a partir de ~$310–360.</w:t>
      </w:r>
    </w:p>
    <w:p>
      <w:pPr>
        <w:pStyle w:val="ListParagraph"/>
        <w:numPr>
          <w:ilvl w:val="0"/>
          <w:numId w:val="2"/>
        </w:numPr>
        <w:spacing w:after="60"/>
      </w:pPr>
      <w:r>
        <w:rPr>
          <w:b/>
          <w:bCs/>
        </w:rPr>
        <w:t xml:space="preserve">Socioeconomic_Level – Annual_Total_Spend (escala log):</w:t>
      </w:r>
      <w:r>
        <w:t xml:space="preserve"> fuerte gradiente: mediana de ~$1,800 en Bajo, ~$5,000 en Medio-Bajo, ~$12,000 en Medio, ~$21,000 en Medio-Alto y ~$42,000 en Alto. </w:t>
      </w:r>
      <w:r>
        <w:rPr>
          <w:b/>
          <w:bCs/>
        </w:rPr>
        <w:t xml:space="preserve">Conclusión:</w:t>
      </w:r>
      <w:r>
        <w:t xml:space="preserve"> los clientes de nivel alto no gastan más por compra, sino que compran con mayor frecuencia; su valor anual es hasta 20 veces el de nivel Bajo.</w:t>
      </w:r>
    </w:p>
    <w:p>
      <w:pPr>
        <w:pStyle w:val="ListParagraph"/>
        <w:numPr>
          <w:ilvl w:val="0"/>
          <w:numId w:val="2"/>
        </w:numPr>
        <w:spacing w:after="60"/>
      </w:pPr>
      <w:r>
        <w:rPr>
          <w:b/>
          <w:bCs/>
        </w:rPr>
        <w:t xml:space="preserve">Rango_Edad:</w:t>
      </w:r>
      <w:r>
        <w:t xml:space="preserve"> las cuatro variables (units_sold, Annual_Purchase_Frequency, sales_amount, Annual_Total_Spend) tienen distribuciones prácticamente iguales en todos los rangos. sales_amount presenta outliers en todos los rangos a partir de ~$350, con máximos cercanos a $1,000. Annual_Total_Spend (escala log) tampoco muestra diferencias. </w:t>
      </w:r>
      <w:r>
        <w:rPr>
          <w:b/>
          <w:bCs/>
        </w:rPr>
        <w:t xml:space="preserve">La edad no diferencia el comportamiento de compra.</w:t>
      </w:r>
    </w:p>
    <w:p>
      <w:pPr>
        <w:pStyle w:val="Heading2"/>
        <w:spacing w:after="100" w:before="180"/>
      </w:pPr>
      <w:r>
        <w:t xml:space="preserve">Análisis adicional: Stock vs. Esperado vs. Vendido</w:t>
      </w:r>
    </w:p>
    <w:p>
      <w:pPr>
        <w:pStyle w:val="ListParagraph"/>
        <w:numPr>
          <w:ilvl w:val="0"/>
          <w:numId w:val="2"/>
        </w:numPr>
        <w:spacing w:after="60"/>
      </w:pPr>
      <w:r>
        <w:t xml:space="preserve">Se venden entre 160 y 230 mil unidades al mes, contra una demanda esperada de 1.07 a 1.15 millones: solo se vende el </w:t>
      </w:r>
      <w:r>
        <w:rPr>
          <w:b/>
          <w:bCs/>
        </w:rPr>
        <w:t xml:space="preserve">15–20% de lo esperado</w:t>
      </w:r>
      <w:r>
        <w:t xml:space="preserve">.</w:t>
      </w:r>
    </w:p>
    <w:p>
      <w:pPr>
        <w:pStyle w:val="ListParagraph"/>
        <w:numPr>
          <w:ilvl w:val="0"/>
          <w:numId w:val="2"/>
        </w:numPr>
        <w:spacing w:after="60"/>
      </w:pPr>
      <w:r>
        <w:t xml:space="preserve">El stock supera lo esperado en ~11% (~120 mil unidades) todos los meses.</w:t>
      </w:r>
    </w:p>
    <w:p>
      <w:pPr>
        <w:pStyle w:val="ListParagraph"/>
        <w:numPr>
          <w:ilvl w:val="0"/>
          <w:numId w:val="2"/>
        </w:numPr>
        <w:spacing w:after="60"/>
      </w:pPr>
      <w:r>
        <w:t xml:space="preserve">En enero de 2025 la proyección y el stock subieron ~6–7%, pero las ventas se mantuvieron igual que en 2024.</w:t>
      </w:r>
    </w:p>
    <w:p>
      <w:pPr>
        <w:pStyle w:val="ListParagraph"/>
        <w:numPr>
          <w:ilvl w:val="0"/>
          <w:numId w:val="2"/>
        </w:numPr>
        <w:spacing w:after="60"/>
      </w:pPr>
      <w:r>
        <w:t xml:space="preserve">Las ventas son estacionales (pico en noviembre–diciembre, mínimo en febrero), pero la proyección es prácticamente plana.</w:t>
      </w:r>
    </w:p>
    <w:p>
      <w:pPr>
        <w:pStyle w:val="Heading1"/>
        <w:spacing w:after="120" w:before="240"/>
      </w:pPr>
      <w:r>
        <w:t xml:space="preserve">VI. Medidas descriptivas por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00"/>
        <w:gridCol w:w="1400"/>
        <w:gridCol w:w="1200"/>
        <w:gridCol w:w="1300"/>
        <w:gridCol w:w="1300"/>
      </w:tblGrid>
      <w:tr>
        <w:trPr>
          <w:tblHeader/>
        </w:trPr>
        <w:tc>
          <w:tcPr>
            <w:tcW w:type="dxa" w:w="2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 cuantitativa</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w:t>
            </w:r>
          </w:p>
        </w:tc>
        <w:tc>
          <w:tcPr>
            <w:tcW w:type="dxa" w:w="1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Desv. Estándar</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Q1</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Mediana/Q2</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Q3</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0.89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3.48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132.20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88.84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109.66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173.80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10,871.76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12,195.31</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2,654.40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6,718.08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14,675.08</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207.55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175.59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14,506.75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15,594.18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4,646.08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9,011.64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18,507.54</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9.64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21.25</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289.35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152.04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165.30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266.59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383.27</w:t>
            </w:r>
          </w:p>
        </w:tc>
      </w:tr>
    </w:tbl>
    <w:p>
      <w:pPr>
        <w:pStyle w:val="Heading2"/>
        <w:spacing w:after="100" w:before="180"/>
      </w:pPr>
      <w:r>
        <w:t xml:space="preserve">Resumen y conclusiones</w:t>
      </w:r>
    </w:p>
    <w:p>
      <w:pPr>
        <w:pStyle w:val="ListParagraph"/>
        <w:numPr>
          <w:ilvl w:val="0"/>
          <w:numId w:val="2"/>
        </w:numPr>
        <w:spacing w:after="60"/>
      </w:pPr>
      <w:r>
        <w:t xml:space="preserve">En todas las variables la media es mayor que la mediana, lo que confirma el sesgo a la derecha.</w:t>
      </w:r>
    </w:p>
    <w:p>
      <w:pPr>
        <w:pStyle w:val="ListParagraph"/>
        <w:numPr>
          <w:ilvl w:val="0"/>
          <w:numId w:val="2"/>
        </w:numPr>
        <w:spacing w:after="60"/>
      </w:pPr>
      <w:r>
        <w:t xml:space="preserve">Annual_Total_Spend tiene una desviación estándar mayor que su media: el gasto de los clientes es muy desigual.</w:t>
      </w:r>
    </w:p>
    <w:p>
      <w:pPr>
        <w:pStyle w:val="ListParagraph"/>
        <w:numPr>
          <w:ilvl w:val="0"/>
          <w:numId w:val="2"/>
        </w:numPr>
        <w:spacing w:after="60"/>
      </w:pPr>
      <w:r>
        <w:t xml:space="preserve">El cumplimiento mediano es de solo 12%: la mitad de los registros mensuales vende menos del 12% de lo esperado.</w:t>
      </w:r>
    </w:p>
    <w:p>
      <w:pPr>
        <w:pStyle w:val="ListParagraph"/>
        <w:numPr>
          <w:ilvl w:val="0"/>
          <w:numId w:val="2"/>
        </w:numPr>
        <w:spacing w:after="60"/>
      </w:pPr>
      <w:r>
        <w:t xml:space="preserve">La cobertura mediana de 267 días indica sobrestock generalizado.</w:t>
      </w:r>
    </w:p>
    <w:p>
      <w:pPr>
        <w:spacing w:after="120"/>
      </w:pPr>
      <w:r>
        <w:t xml:space="preserve">Realizó: </w:t>
      </w:r>
      <w:r>
        <w:rPr>
          <w:b/>
          <w:bCs/>
          <w:highlight w:val="yellow"/>
          <w:highlightCs w:val="yellow"/>
        </w:rPr>
        <w:t xml:space="preserve">[nombre de quien hizo este punto]</w:t>
      </w:r>
    </w:p>
    <w:p>
      <w:pPr>
        <w:pStyle w:val="Heading1"/>
        <w:spacing w:after="120" w:before="240"/>
      </w:pPr>
      <w:r>
        <w:t xml:space="preserve">VII. Resumen de resultados de histogramas y boxplots</w:t>
      </w:r>
    </w:p>
    <w:p>
      <w:pPr>
        <w:pStyle w:val="ListParagraph"/>
        <w:numPr>
          <w:ilvl w:val="0"/>
          <w:numId w:val="2"/>
        </w:numPr>
        <w:spacing w:after="60"/>
      </w:pPr>
      <w:r>
        <w:t xml:space="preserve">Ninguna variable continua es normal: todas presentan sesgo a la derecha y outliers en la cola superior (menos del 1.5% de los datos).</w:t>
      </w:r>
    </w:p>
    <w:p>
      <w:pPr>
        <w:pStyle w:val="ListParagraph"/>
        <w:numPr>
          <w:ilvl w:val="0"/>
          <w:numId w:val="2"/>
        </w:numPr>
        <w:spacing w:after="60"/>
      </w:pPr>
      <w:r>
        <w:t xml:space="preserve">La canasta típica es de 1–2 piezas (81% de las transacciones) y el ticket mediano es de $109.66.</w:t>
      </w:r>
    </w:p>
    <w:p>
      <w:pPr>
        <w:pStyle w:val="ListParagraph"/>
        <w:numPr>
          <w:ilvl w:val="0"/>
          <w:numId w:val="2"/>
        </w:numPr>
        <w:spacing w:after="60"/>
      </w:pPr>
      <w:r>
        <w:t xml:space="preserve">DanuStore solo vende en promedio el 15.7% de las unidades esperadas y su inventario dura ~289 días: existe una sobreestimación sistemática de la demanda.</w:t>
      </w:r>
    </w:p>
    <w:p>
      <w:pPr>
        <w:pStyle w:val="ListParagraph"/>
        <w:numPr>
          <w:ilvl w:val="0"/>
          <w:numId w:val="2"/>
        </w:numPr>
        <w:spacing w:after="60"/>
      </w:pPr>
      <w:r>
        <w:t xml:space="preserve">Ciudad de México, Monterrey y Guadalajara concentran el 73.64% de las transacciones y son las regiones con mejor cumplimiento; las regiones pequeñas acumulan el sobrestock (hasta ~480 días de cobertura en Sureste).</w:t>
      </w:r>
    </w:p>
    <w:p>
      <w:pPr>
        <w:pStyle w:val="ListParagraph"/>
        <w:numPr>
          <w:ilvl w:val="0"/>
          <w:numId w:val="2"/>
        </w:numPr>
        <w:spacing w:after="60"/>
      </w:pPr>
      <w:r>
        <w:t xml:space="preserve">El 92% de las transacciones son de clientes Básico y Silver; el programa de lealtad tiene poca penetración en Gold y Premium.</w:t>
      </w:r>
    </w:p>
    <w:p>
      <w:pPr>
        <w:pStyle w:val="ListParagraph"/>
        <w:numPr>
          <w:ilvl w:val="0"/>
          <w:numId w:val="2"/>
        </w:numPr>
        <w:spacing w:after="60"/>
      </w:pPr>
      <w:r>
        <w:t xml:space="preserve">El nivel socioeconómico es el principal diferenciador del valor del cliente: el nivel Alto gasta ~$42,000 al año contra ~$1,800 del nivel Bajo, por mayor frecuencia de compra y no por ticket más alto.</w:t>
      </w:r>
    </w:p>
    <w:p>
      <w:pPr>
        <w:pStyle w:val="ListParagraph"/>
        <w:numPr>
          <w:ilvl w:val="0"/>
          <w:numId w:val="2"/>
        </w:numPr>
        <w:spacing w:after="60"/>
      </w:pPr>
      <w:r>
        <w:t xml:space="preserve">El 62% de los clientes tiene entre 25 y 54 años, pero la edad no cambia el comportamiento de compra (~$7,000 por cliente en todos los rangos).</w:t>
      </w:r>
    </w:p>
    <w:p>
      <w:pPr>
        <w:pStyle w:val="ListParagraph"/>
        <w:numPr>
          <w:ilvl w:val="0"/>
          <w:numId w:val="2"/>
        </w:numPr>
        <w:spacing w:after="60"/>
      </w:pPr>
      <w:r>
        <w:t xml:space="preserve">En 2025 aumentaron la proyección y el stock sin que aumentaran las ventas; se recomienda proyectar con ventas históricas e incorporar la estacionalidad.</w:t>
      </w:r>
    </w:p>
    <w:p>
      <w:pPr>
        <w:pStyle w:val="Heading1"/>
        <w:spacing w:after="120" w:before="240"/>
      </w:pPr>
      <w:r>
        <w:t xml:space="preserve">VIII. Contribución individual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6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Variables / secciones (código y documento)</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Jaime Hernández González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Creación y análisis de Rango_Edad (código, gráficas, interpretación); análisis Stock vs. Esperado vs. Vendido; actualización de la sección I; cruce de Rango_Edad en la sección 5.2; redacción de estas secciones.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André Alberto Navarro de la Parra</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Felix Samuel Vargas Mar</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Aldahir Zarazúa Núñez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Javier Alejandro Padilla Matus</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bl>
    <w:p>
      <w:pPr>
        <w:pStyle w:val="Heading1"/>
        <w:spacing w:after="120" w:before="240"/>
      </w:pPr>
      <w:r>
        <w:t xml:space="preserve">IX. Anexos</w:t>
      </w:r>
    </w:p>
    <w:p>
      <w:pPr>
        <w:pStyle w:val="ListParagraph"/>
        <w:numPr>
          <w:ilvl w:val="0"/>
          <w:numId w:val="2"/>
        </w:numPr>
        <w:spacing w:after="60"/>
      </w:pPr>
      <w:r>
        <w:t xml:space="preserve">Notebook Colab (.ipynb): </w:t>
      </w:r>
      <w:r>
        <w:rPr>
          <w:b/>
          <w:bCs/>
          <w:highlight w:val="yellow"/>
          <w:highlightCs w:val="yellow"/>
        </w:rPr>
        <w:t xml:space="preserve">[liga]</w:t>
      </w:r>
      <w:r>
        <w:t xml:space="preserve"> – TI3002C_Etapa 4.2_Equipo 6.ipynb</w:t>
      </w:r>
    </w:p>
    <w:p>
      <w:pPr>
        <w:pStyle w:val="ListParagraph"/>
        <w:numPr>
          <w:ilvl w:val="0"/>
          <w:numId w:val="2"/>
        </w:numPr>
        <w:spacing w:after="60"/>
      </w:pPr>
      <w:r>
        <w:t xml:space="preserve">Liga del Colab: </w:t>
      </w:r>
      <w:r>
        <w:rPr>
          <w:b/>
          <w:bCs/>
          <w:highlight w:val="yellow"/>
          <w:highlightCs w:val="yellow"/>
        </w:rPr>
        <w:t xml:space="preserve">[liga]</w:t>
      </w:r>
    </w:p>
    <w:p>
      <w:pPr>
        <w:pStyle w:val="ListParagraph"/>
        <w:numPr>
          <w:ilvl w:val="0"/>
          <w:numId w:val="2"/>
        </w:numPr>
        <w:spacing w:after="60"/>
      </w:pPr>
      <w:r>
        <w:t xml:space="preserve">PDF del notebook: </w:t>
      </w:r>
      <w:r>
        <w:rPr>
          <w:b/>
          <w:bCs/>
          <w:highlight w:val="yellow"/>
          <w:highlightCs w:val="yellow"/>
        </w:rPr>
        <w:t xml:space="preserve">[nombre del PDF]</w:t>
      </w:r>
    </w:p>
    <w:p>
      <w:pPr>
        <w:pStyle w:val="ListParagraph"/>
        <w:numPr>
          <w:ilvl w:val="0"/>
          <w:numId w:val="2"/>
        </w:numPr>
        <w:spacing w:after="60"/>
      </w:pPr>
      <w:r>
        <w:t xml:space="preserve">Carpeta de Google Drive con la base de datos: </w:t>
      </w:r>
      <w:r>
        <w:rPr>
          <w:b/>
          <w:bCs/>
          <w:highlight w:val="yellow"/>
          <w:highlightCs w:val="yellow"/>
        </w:rPr>
        <w:t xml:space="preserve">[liga]</w:t>
      </w:r>
    </w:p>
    <w:p>
      <w:pPr>
        <w:pStyle w:val="ListParagraph"/>
        <w:numPr>
          <w:ilvl w:val="0"/>
          <w:numId w:val="2"/>
        </w:numPr>
        <w:spacing w:after="60"/>
      </w:pPr>
      <w:r>
        <w:t xml:space="preserve">Diccionario de Datos: Diccionario de Datos DanuStore - Equipo 6.xlsx</w:t>
      </w:r>
    </w:p>
    <w:p>
      <w:pPr>
        <w:pStyle w:val="Heading1"/>
        <w:spacing w:after="120" w:before="240"/>
      </w:pPr>
      <w:r>
        <w:t xml:space="preserve">X. Referencias</w:t>
      </w:r>
    </w:p>
    <w:p>
      <w:pPr>
        <w:spacing w:after="100"/>
        <w:ind w:left="720" w:hanging="720"/>
      </w:pPr>
      <w:r>
        <w:t xml:space="preserve">Danu Analítica - Business Intelligence &amp; Machine Learning. (s. f.). https://www.danuanalitica.com/#nosotros</w:t>
      </w:r>
    </w:p>
    <w:p>
      <w:pPr>
        <w:spacing w:after="100"/>
        <w:ind w:left="720" w:hanging="720"/>
      </w:pPr>
      <w:r>
        <w:t xml:space="preserve">Danu Analítica. (2026, 14 agosto). Danu analitica | LinkedIn. https://www.linkedin.com/company/danuanalitica/</w:t>
      </w:r>
    </w:p>
    <w:p>
      <w:pPr>
        <w:spacing w:after="100"/>
        <w:ind w:left="720" w:hanging="720"/>
      </w:pPr>
      <w:r>
        <w:t xml:space="preserve">Danu Analítica. (s. f.). Tec Semestre 2026. (Presentación de Socioformador)</w:t>
      </w:r>
    </w:p>
    <w:p>
      <w:pPr>
        <w:spacing w:after="100"/>
        <w:ind w:left="720" w:hanging="720"/>
      </w:pPr>
      <w:r>
        <w:t xml:space="preserve">Danu Consulting. (2026). Misión de Danu Consulting. Facebook. https://www.facebook.com/photo?fbid=1013618514881173&amp;set=pcb.1013618551547836</w:t>
      </w:r>
    </w:p>
    <w:p>
      <w:pPr>
        <w:spacing w:after="100"/>
        <w:ind w:left="720" w:hanging="720"/>
      </w:pPr>
      <w:r>
        <w:t xml:space="preserve">Google Gemini. (2026). Gemini [Modelo 3.7 Flash]. https://gemini.google.com</w:t>
      </w:r>
    </w:p>
    <w:p>
      <w:pPr>
        <w:spacing w:after="100"/>
        <w:ind w:left="720" w:hanging="720"/>
      </w:pPr>
      <w:r>
        <w:t xml:space="preserve">Lucidchart. (s. f.). https://lucid.app/</w:t>
      </w:r>
    </w:p>
    <w:p>
      <w:pPr>
        <w:spacing w:after="100"/>
        <w:ind w:left="720" w:hanging="720"/>
      </w:pPr>
      <w:r>
        <w:t xml:space="preserve">Microsoft. (2023). Power BI [Software]. Microsoft Corporation. https://powerbi.microsoft.com/</w:t>
      </w:r>
    </w:p>
    <w:p>
      <w:pPr>
        <w:spacing w:after="100"/>
        <w:ind w:left="720" w:hanging="720"/>
      </w:pPr>
      <w:r>
        <w:t xml:space="preserve">Mondragon, H. (2025, 27 octubre). Danu Analítica: el poder de los datos al servicio de las empresas mexicanas. PRO Network. https://www.pronetwork.mx/danu-analitica-el-poder-de-los-datos-al-servicio-de-las-empresas-mexicanas/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4E79"/>
      <w:sz w:val="30"/>
      <w:szCs w:val="30"/>
    </w:rPr>
  </w:style>
  <w:style w:type="paragraph" w:styleId="Heading2">
    <w:name w:val="Heading 2"/>
    <w:basedOn w:val="Normal"/>
    <w:next w:val="Normal"/>
    <w:qFormat/>
    <w:pPr>
      <w:outlineLvl w:val="1"/>
    </w:pPr>
    <w:rPr>
      <w:b/>
      <w:bCs/>
      <w:color w:val="2E75B6"/>
      <w:sz w:val="25"/>
      <w:szCs w:val="25"/>
    </w:rPr>
  </w:style>
  <w:style w:type="paragraph" w:styleId="Heading3">
    <w:name w:val="Heading 3"/>
    <w:basedOn w:val="Normal"/>
    <w:next w:val="Normal"/>
    <w:qFormat/>
    <w:pPr>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674b986737767665e08664df0d19a0164dec2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2026-10-04T20:07:34.021Z</dcterms:created>
  <dcterms:modified xsi:type="dcterms:W3CDTF">2026-10-04T20:07:34.021Z</dcterms:modified>
</cp:coreProperties>
</file>

<file path=docProps/custom.xml><?xml version="1.0" encoding="utf-8"?>
<Properties xmlns="http://schemas.openxmlformats.org/officeDocument/2006/custom-properties" xmlns:vt="http://schemas.openxmlformats.org/officeDocument/2006/docPropsVTypes"/>
</file>