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56"/>
          <w:szCs w:val="56"/>
        </w:rPr>
        <w:t xml:space="preserve">Estadística descriptiva</w:t>
      </w:r>
    </w:p>
    <w:p>
      <w:pPr>
        <w:spacing w:after="200"/>
        <w:jc w:val="center"/>
      </w:pPr>
      <w:r>
        <w:rPr>
          <w:sz w:val="26"/>
          <w:szCs w:val="26"/>
        </w:rPr>
        <w:t xml:space="preserve">TI3002C – Etapa 4.2: Medidas descriptivas y caracterización gráfica</w:t>
      </w:r>
    </w:p>
    <w:p>
      <w:pPr>
        <w:jc w:val="center"/>
      </w:pPr>
      <w:r>
        <w:rPr>
          <w:b/>
          <w:bCs/>
          <w:sz w:val="28"/>
          <w:szCs w:val="28"/>
        </w:rPr>
        <w:t xml:space="preserve">Equipo 6 – </w:t>
      </w:r>
      <w:r>
        <w:rPr>
          <w:b/>
          <w:bCs/>
          <w:sz w:val="28"/>
          <w:szCs w:val="28"/>
          <w:highlight w:val="yellow"/>
          <w:highlightCs w:val="yellow"/>
        </w:rPr>
        <w:t xml:space="preserve">[Nombre del equipo]</w:t>
      </w:r>
    </w:p>
    <w:p>
      <w:pPr>
        <w:spacing w:after="300"/>
        <w:jc w:val="center"/>
      </w:pPr>
      <w:r>
        <w:rPr>
          <w:sz w:val="24"/>
          <w:szCs w:val="24"/>
        </w:rPr>
        <w:t xml:space="preserve">Socio formador: DanuStore / Danu Analítica</w:t>
      </w:r>
    </w:p>
    <w:p>
      <w:pPr>
        <w:jc w:val="center"/>
      </w:pPr>
      <w:r>
        <w:rPr>
          <w:sz w:val="22"/>
          <w:szCs w:val="22"/>
        </w:rPr>
        <w:t xml:space="preserve">Analítica de datos y herramientas de inteligencia artificial (Gpo 601)</w:t>
      </w:r>
    </w:p>
    <w:p>
      <w:pPr>
        <w:spacing w:after="200"/>
        <w:jc w:val="center"/>
      </w:pPr>
      <w:r>
        <w:rPr>
          <w:sz w:val="20"/>
          <w:szCs w:val="20"/>
        </w:rPr>
        <w:t xml:space="preserve">Docentes: Ildefonso Torres Vargas, Luis Daniel Mendoza Morales, Anna Karen Gárate Escamilla, Alvaro Martínez Sánchez</w:t>
      </w:r>
    </w:p>
    <w:p>
      <w:pPr>
        <w:jc w:val="center"/>
      </w:pPr>
      <w:r>
        <w:rPr>
          <w:sz w:val="22"/>
          <w:szCs w:val="22"/>
        </w:rPr>
        <w:t xml:space="preserve">Jaime Hernández González | A00840312</w:t>
      </w:r>
    </w:p>
    <w:p>
      <w:pPr>
        <w:jc w:val="center"/>
      </w:pPr>
      <w:r>
        <w:rPr>
          <w:sz w:val="22"/>
          <w:szCs w:val="22"/>
        </w:rPr>
        <w:t xml:space="preserve">André Alberto Navarro de la Parra | A01278021</w:t>
      </w:r>
    </w:p>
    <w:p>
      <w:pPr>
        <w:jc w:val="center"/>
      </w:pPr>
      <w:r>
        <w:rPr>
          <w:sz w:val="22"/>
          <w:szCs w:val="22"/>
        </w:rPr>
        <w:t xml:space="preserve">Felix Samuel Vargas Mar | A01410658</w:t>
      </w:r>
    </w:p>
    <w:p>
      <w:pPr>
        <w:jc w:val="center"/>
      </w:pPr>
      <w:r>
        <w:rPr>
          <w:sz w:val="22"/>
          <w:szCs w:val="22"/>
        </w:rPr>
        <w:t xml:space="preserve">Aldahir Zarazúa Núñez | A01571549</w:t>
      </w:r>
    </w:p>
    <w:p>
      <w:pPr>
        <w:jc w:val="center"/>
      </w:pPr>
      <w:r>
        <w:rPr>
          <w:sz w:val="22"/>
          <w:szCs w:val="22"/>
        </w:rPr>
        <w:t xml:space="preserve">Javier Alejandro Padilla Matus | A01571744</w:t>
      </w:r>
    </w:p>
    <w:p>
      <w:pPr>
        <w:spacing w:before="300"/>
        <w:jc w:val="center"/>
      </w:pPr>
      <w:r>
        <w:rPr>
          <w:sz w:val="22"/>
          <w:szCs w:val="22"/>
        </w:rPr>
        <w:t xml:space="preserve">Instituto Tecnológico y de Estudios Superiores de Monterrey, Campus Monterrey</w:t>
      </w:r>
    </w:p>
    <w:p>
      <w:pPr>
        <w:jc w:val="center"/>
      </w:pPr>
      <w:r>
        <w:rPr>
          <w:sz w:val="22"/>
          <w:szCs w:val="22"/>
        </w:rPr>
        <w:t xml:space="preserve">4 de octubre de 2026</w:t>
      </w:r>
    </w:p>
    <w:p>
      <w:r>
        <w:br w:type="page"/>
      </w:r>
    </w:p>
    <w:p>
      <w:r>
        <w:rPr>
          <w:b/>
          <w:bCs/>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t xml:space="preserve">I. Perfil de Datos actualizado</w:t>
      </w:r>
    </w:p>
    <w:p>
      <w:pPr>
        <w:spacing w:after="120"/>
      </w:pPr>
      <w:r>
        <w:t xml:space="preserve">Tras la retroalimentación de profesores y socio formador, el análisis se realiza en dos niveles de detalle: </w:t>
      </w:r>
      <w:r>
        <w:rPr>
          <w:b/>
          <w:bCs/>
        </w:rPr>
        <w:t xml:space="preserve">Nivel Macro</w:t>
      </w:r>
      <w:r>
        <w:t xml:space="preserve"> (movimiento mensual del inventario) y </w:t>
      </w:r>
      <w:r>
        <w:rPr>
          <w:b/>
          <w:bCs/>
        </w:rPr>
        <w:t xml:space="preserve">Nivel Micro</w:t>
      </w:r>
      <w:r>
        <w:t xml:space="preserve"> (transacciones diarias). Ambos Dataframes están libres de valores nulos y duplicados.</w:t>
      </w:r>
    </w:p>
    <w:p>
      <w:pPr>
        <w:pStyle w:val="Heading2"/>
        <w:spacing w:after="100" w:before="180"/>
      </w:pPr>
      <w:r>
        <w:t xml:space="preserve">Dimensión de los 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60"/>
        <w:gridCol w:w="1900"/>
        <w:gridCol w:w="1900"/>
      </w:tblGrid>
      <w:tr>
        <w:trPr>
          <w:tblHeader/>
        </w:trPr>
        <w:tc>
          <w:tcPr>
            <w:tcW w:type="dxa" w:w="3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1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Filas</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Columnas</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data_DanuStore_Equipo6_Mensual.csv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21,840</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2,396,663</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w:t>
            </w:r>
          </w:p>
        </w:tc>
      </w:tr>
    </w:tbl>
    <w:p/>
    <w:p>
      <w:pPr>
        <w:pStyle w:val="Heading2"/>
        <w:spacing w:after="100" w:before="180"/>
      </w:pPr>
      <w:r>
        <w:t xml:space="preserve">Número de variables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160"/>
        <w:gridCol w:w="1800"/>
      </w:tblGrid>
      <w:tr>
        <w:trPr>
          <w:tblHeader/>
        </w:trPr>
        <w:tc>
          <w:tcPr>
            <w:tcW w:type="dxa" w:w="2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Cuantitativas</w:t>
            </w:r>
          </w:p>
        </w:tc>
        <w:tc>
          <w:tcPr>
            <w:tcW w:type="dxa" w:w="3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Cualitativas</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Fecha</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 (incluye year)</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 (incluye product_id e inventory_key)</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19 (incluye day y year)</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 (incluye identificadores; 19 al crear Rango_Edad)</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 (date, Registration_Date)</w:t>
            </w:r>
          </w:p>
        </w:tc>
      </w:tr>
    </w:tbl>
    <w:p>
      <w:pPr>
        <w:spacing w:after="120"/>
      </w:pPr>
      <w:r>
        <w:t xml:space="preserve">Las columnas identificadoras (product_id, stock_mov_id, client_id) se convirtieron a tipo object y las fechas a datetime, para que no se traten como numéricas.</w:t>
      </w:r>
    </w:p>
    <w:p>
      <w:pPr>
        <w:pStyle w:val="Heading2"/>
        <w:spacing w:after="100" w:before="180"/>
      </w:pPr>
      <w:r>
        <w:t xml:space="preserve">Tabla de variables seleccionadas para el análisis (12 + 1 nueva)</w:t>
      </w:r>
    </w:p>
    <w:p>
      <w:pPr>
        <w:pStyle w:val="Heading3"/>
        <w:spacing w:after="80" w:before="120"/>
      </w:pPr>
      <w:r>
        <w:t xml:space="preserve">Variables cuantitativas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Tipo</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3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Piezas vendidas por transacción (micro) o por mes (macro).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Número de compras de un cliente al año.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Ingreso en pesos por transacción o por mes.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Gasto total anual del cliente.</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 units_expected × 100.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Días que alcanza el stock al ritmo de venta diaria.</w:t>
            </w:r>
          </w:p>
        </w:tc>
      </w:tr>
    </w:tbl>
    <w:p>
      <w:pPr>
        <w:pStyle w:val="Heading3"/>
        <w:spacing w:after="80" w:before="120"/>
      </w:pPr>
      <w:r>
        <w:t xml:space="preserve">Variables cualitativas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53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Categorías</w:t>
            </w:r>
          </w:p>
        </w:tc>
        <w:tc>
          <w:tcPr>
            <w:tcW w:type="dxa" w:w="53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Línea de producto (Footwear, Casual Wear, Fitness Wear, Accessories).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Tipo específico de producto (Sneakers, Pants, Bags, etc.).</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Zona geográfica de venta e inventario.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Nivel de lealtad (Básico, Silver, Gold, Premium).</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Canal preferido (Tienda física, Online, App).</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Estrato económico (Bajo a Alto).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(nueva)</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Rangos estándar Meta Ads / Google Analytics: 18-24, 25-34, 35-44, 45-54, 55-64, 65+.</w:t>
            </w:r>
          </w:p>
        </w:tc>
      </w:tr>
    </w:tbl>
    <w:p>
      <w:pPr>
        <w:pStyle w:val="Heading1"/>
        <w:spacing w:after="120" w:before="240"/>
      </w:pPr>
      <w:r>
        <w:t xml:space="preserve">II. Perfil de entidades y relaciones actualizado</w:t>
      </w:r>
    </w:p>
    <w:p>
      <w:pPr>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52725"/>
                    </a:xfrm>
                    <a:prstGeom prst="rect">
                      <a:avLst/>
                    </a:prstGeom>
                  </pic:spPr>
                </pic:pic>
              </a:graphicData>
            </a:graphic>
          </wp:inline>
        </w:drawing>
      </w:r>
    </w:p>
    <w:p>
      <w:pPr>
        <w:spacing w:after="120"/>
      </w:pPr>
      <w:r>
        <w:t xml:space="preserve">El modelo relaciona las entidades </w:t>
      </w:r>
      <w:r>
        <w:rPr>
          <w:b/>
          <w:bCs/>
        </w:rPr>
        <w:t xml:space="preserve">Producto</w:t>
      </w:r>
      <w:r>
        <w:t xml:space="preserve"> (product_id, category, subcategory, static_price), </w:t>
      </w:r>
      <w:r>
        <w:rPr>
          <w:b/>
          <w:bCs/>
        </w:rPr>
        <w:t xml:space="preserve">Cliente</w:t>
      </w:r>
      <w:r>
        <w:t xml:space="preserve"> (client_id, datos demográficos y de lealtad), </w:t>
      </w:r>
      <w:r>
        <w:rPr>
          <w:b/>
          <w:bCs/>
        </w:rPr>
        <w:t xml:space="preserve">Región</w:t>
      </w:r>
      <w:r>
        <w:t xml:space="preserve">, </w:t>
      </w:r>
      <w:r>
        <w:rPr>
          <w:b/>
          <w:bCs/>
        </w:rPr>
        <w:t xml:space="preserve">Transacción / Movimiento de stock</w:t>
      </w:r>
      <w:r>
        <w:t xml:space="preserve"> (stock_mov_id, transaction_id, date, units_sold, sales_amount) e </w:t>
      </w:r>
      <w:r>
        <w:rPr>
          <w:b/>
          <w:bCs/>
        </w:rPr>
        <w:t xml:space="preserve">Inventario mensual</w:t>
      </w:r>
      <w:r>
        <w:t xml:space="preserve"> (inventory_key = región + producto + mes + año, con units_expected, stock y las variables generadas).</w:t>
      </w:r>
    </w:p>
    <w:p>
      <w:pPr>
        <w:pStyle w:val="Heading1"/>
        <w:spacing w:after="120" w:before="240"/>
      </w:pPr>
      <w:r>
        <w:t xml:space="preserve">III. Análisis de Variables cualitativas</w:t>
      </w:r>
    </w:p>
    <w:p>
      <w:pPr>
        <w:spacing w:after="120"/>
      </w:pPr>
      <w:r>
        <w:t xml:space="preserve">Se analizaron en el Nivel Micro (2,396,663 transacciones). Las categorías se ordenan de mayor a menor frecuencia, excepto Client_Category y Socioeconomic_Level, que se muestran en su orden lógico por ser ordinales. Para subcategory (13 categorías, más de 12) se aplicó la regla del 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160"/>
        <w:gridCol w:w="2000"/>
      </w:tblGrid>
      <w:tr>
        <w:trPr>
          <w:tblHeader/>
        </w:trPr>
        <w:tc>
          <w:tcPr>
            <w:tcW w:type="dxa" w:w="2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2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Valor más frecuente</w:t>
            </w:r>
          </w:p>
        </w:tc>
        <w:tc>
          <w:tcPr>
            <w:tcW w:type="dxa" w:w="2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695,782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29.03%</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Sneakers</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319,059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13.31%</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852,574</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35.57%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Básico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1,243,162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51.87%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Tienda física</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1,036,756</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43.26%</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742,197</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30.97%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(clientes únicos)</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35-44</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10,411</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23.14%</w:t>
            </w:r>
          </w:p>
        </w:tc>
      </w:tr>
    </w:tbl>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1. Frecuencia por category</w:t>
      </w:r>
    </w:p>
    <w:p>
      <w:pPr>
        <w:spacing w:after="120"/>
      </w:pPr>
      <w:r>
        <w:rPr>
          <w:b/>
          <w:bCs/>
        </w:rPr>
        <w:t xml:space="preserve">Interpretación:</w:t>
      </w:r>
      <w:r>
        <w:t xml:space="preserve"> la demanda está bien repartida entre las cuatro líneas. Footwear es la más frecuente (29.03%) y junto con Casual Wear (27.17%) concentra el 56.20% de las transacciones; Accessories es la menor (20.16%).</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2. Frecuencia por subcategory (regla del 70%)</w:t>
      </w:r>
    </w:p>
    <w:p>
      <w:pPr>
        <w:spacing w:after="120"/>
      </w:pPr>
      <w:r>
        <w:rPr>
          <w:b/>
          <w:bCs/>
        </w:rPr>
        <w:t xml:space="preserve">Interpretación:</w:t>
      </w:r>
      <w:r>
        <w:t xml:space="preserve"> Sneakers lidera (13.31%). Al aplicar la regla del 70% se conservan 8 subcategorías (hasta Sandals, 74.10% acumulado) y 5 se agrupan en "Otras" (Outerwear, Hats, Bags, Jewelry y Belts), que juntas suman 620,749 transacciones (25.90%).</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3. Frecuencia por region</w:t>
      </w:r>
    </w:p>
    <w:p>
      <w:pPr>
        <w:spacing w:after="120"/>
      </w:pPr>
      <w:r>
        <w:rPr>
          <w:b/>
          <w:bCs/>
        </w:rPr>
        <w:t xml:space="preserve">Interpretación:</w:t>
      </w:r>
      <w:r>
        <w:t xml:space="preserve"> alta concentración geográfica: Ciudad de México (35.57%), Monterrey (22.20%) y Guadalajara (15.87%) suman el 73.64% de las transacciones; Sureste es la región con menos movimiento (4.70%).</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4. Frecuencia por Client_Category</w:t>
      </w:r>
    </w:p>
    <w:p>
      <w:pPr>
        <w:spacing w:after="120"/>
      </w:pPr>
      <w:r>
        <w:rPr>
          <w:b/>
          <w:bCs/>
        </w:rPr>
        <w:t xml:space="preserve">Interpretación:</w:t>
      </w:r>
      <w:r>
        <w:t xml:space="preserve"> el 92.36% de las transacciones son de clientes Básico (51.87%) y Silver (40.49%); Gold representa 6.90% y Premium solo 0.74%. El programa de lealtad tiene poca penetración en los niveles altos.</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5. Frecuencia por Preferred_Channel</w:t>
      </w:r>
    </w:p>
    <w:p>
      <w:pPr>
        <w:spacing w:after="120"/>
      </w:pPr>
      <w:r>
        <w:rPr>
          <w:b/>
          <w:bCs/>
        </w:rPr>
        <w:t xml:space="preserve">Interpretación:</w:t>
      </w:r>
      <w:r>
        <w:t xml:space="preserve"> Tienda física es el canal más frecuente (43.26%), pero Online (36.85%) y App (19.89%) ya suman el 56.74%: la mayoría de las compras son digitales.</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6. Frecuencia por Socioeconomic_Level</w:t>
      </w:r>
    </w:p>
    <w:p>
      <w:pPr>
        <w:spacing w:after="120"/>
      </w:pPr>
      <w:r>
        <w:rPr>
          <w:b/>
          <w:bCs/>
        </w:rPr>
        <w:t xml:space="preserve">Interpretación:</w:t>
      </w:r>
      <w:r>
        <w:t xml:space="preserve"> el nivel Medio es el más frecuente (30.97%). El 84.03% de las transacciones vienen de niveles Bajo, Medio-Bajo y Medio; Alto solo representa el 3.23%.</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7. Clientes únicos por Rango_Edad</w:t>
      </w:r>
    </w:p>
    <w:p>
      <w:pPr>
        <w:spacing w:after="120"/>
      </w:pPr>
      <w:r>
        <w:rPr>
          <w:b/>
          <w:bCs/>
        </w:rPr>
        <w:t xml:space="preserve">Interpretación:</w:t>
      </w:r>
      <w:r>
        <w:t xml:space="preserve"> con los 44,987 clientes únicos, 35-44 es el rango más frecuente (10,411 clientes, 23.14%), seguido de 25-34 (9,134; 20.30%) y 45-54 (8,329; 18.51%); 65+ tiene 5,963 (13.25%), 55-64 5,608 (12.47%) y 18-24 5,542 (12.32%). El 61.95% de los clientes tiene entre 25 y 54 años.</w:t>
      </w:r>
    </w:p>
    <w:p>
      <w:pPr>
        <w:pStyle w:val="Heading1"/>
        <w:spacing w:after="120" w:before="240"/>
      </w:pPr>
      <w:r>
        <w:t xml:space="preserve">IV. Análisis de variables cuantitativas</w:t>
      </w:r>
    </w:p>
    <w:p>
      <w:pPr>
        <w:pStyle w:val="Heading2"/>
        <w:spacing w:after="100" w:before="180"/>
      </w:pPr>
      <w:r>
        <w:t xml:space="preserve">A. Tipo de variables</w:t>
      </w:r>
    </w:p>
    <w:p>
      <w:pPr>
        <w:spacing w:after="120"/>
      </w:pPr>
      <w:r>
        <w:t xml:space="preserve">Sí se tienen variables discretas y continuas en ambos niveles. </w:t>
      </w:r>
      <w:r>
        <w:rPr>
          <w:b/>
          <w:bCs/>
        </w:rPr>
        <w:t xml:space="preserve">Discretas:</w:t>
      </w:r>
      <w:r>
        <w:t xml:space="preserve"> units_sold, Annual_Purchase_Frequency. </w:t>
      </w:r>
      <w:r>
        <w:rPr>
          <w:b/>
          <w:bCs/>
        </w:rPr>
        <w:t xml:space="preserve">Continuas:</w:t>
      </w:r>
      <w:r>
        <w:t xml:space="preserve"> sales_amount, Annual_Total_Spend, Cumplimiento_Venta_Esperada, Dias_Cobertura_Inventario.</w:t>
      </w:r>
    </w:p>
    <w:p>
      <w:pPr>
        <w:pStyle w:val="Heading2"/>
        <w:spacing w:after="100" w:before="180"/>
      </w:pPr>
      <w:r>
        <w:t xml:space="preserve">B. Variables discretas</w:t>
      </w:r>
    </w:p>
    <w:p>
      <w:pPr>
        <w:pStyle w:val="Heading3"/>
        <w:spacing w:after="80" w:before="120"/>
      </w:pPr>
      <w:r>
        <w:t xml:space="preserve">units_sold (Nivel Micro)</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8. Frecuencia de units_sold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Piezas por transacción</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881,834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1,059,283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80.99%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326,244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94.60%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98,800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4.12%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98.72%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99.75%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5,975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0.25%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Valor más frecuente:</w:t>
      </w:r>
      <w:r>
        <w:t xml:space="preserve"> 2 piezas (44.20%), seguido de 1 pieza (36.79%). El 80.99% de las transacciones son de 1 o 2 piezas; las de 4 o más son el 5.40%. </w:t>
      </w:r>
      <w:r>
        <w:rPr>
          <w:b/>
          <w:bCs/>
        </w:rPr>
        <w:t xml:space="preserve">Conclusión:</w:t>
      </w:r>
      <w:r>
        <w:t xml:space="preserve"> la canasta típica es pequeña; hay oportunidad de promociones por volumen y venta cruzada.</w:t>
      </w:r>
    </w:p>
    <w:p>
      <w:pPr>
        <w:pStyle w:val="Heading3"/>
        <w:spacing w:after="80" w:before="120"/>
      </w:pPr>
      <w:r>
        <w:t xml:space="preserve">Annual_Purchase_Frequency (Nivel Micro)</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9. Frecuencia de Annual_Purchase_Frequency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Compras al año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157,861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217,274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279,529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11.66%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27.32%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312,409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13.04%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40.35%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285,474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11.91%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52.26%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253,406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62.84%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217,804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71.92%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173,472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7.24%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79.16%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138,555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5.78%</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84.94%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89.36%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 a 15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222,983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9.30%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98.66%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 a 26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31,996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Valor más frecuente:</w:t>
      </w:r>
      <w:r>
        <w:t xml:space="preserve"> 4 compras al año (312,409 registros, 13.04%), seguido de 5 (11.91%) y 3 (11.66%). Rango de 1 a 26; media 5.91 y mediana 5 (sesgo a la derecha). El 71.92% de los registros corresponde a clientes con 7 compras o menos y solo el 1.34% a clientes con más de 15. </w:t>
      </w:r>
      <w:r>
        <w:rPr>
          <w:b/>
          <w:bCs/>
        </w:rPr>
        <w:t xml:space="preserve">Conclusión:</w:t>
      </w:r>
      <w:r>
        <w:t xml:space="preserve"> predominan los clientes de recurrencia media; los muy frecuentes son un grupo pequeño que conviene retener.</w:t>
      </w:r>
    </w:p>
    <w:p>
      <w:pPr>
        <w:pStyle w:val="Heading2"/>
        <w:spacing w:after="100" w:before="180"/>
      </w:pPr>
      <w:r>
        <w:t xml:space="preserve">C. Variables continuas (histogramas)</w:t>
      </w:r>
    </w:p>
    <w:p>
      <w:pPr>
        <w:spacing w:after="120"/>
      </w:pPr>
      <w:r>
        <w:t xml:space="preserve">En cada histograma se graficaron la media (rojo), ±1σ (azul), ±3.5σ (verde) y la distribución normal teórica (negro). El número de intervalos se eligió con la regla de Sturges. Los boxplots de estas variables están en la sección E.</w:t>
      </w:r>
    </w:p>
    <w:p>
      <w:pPr>
        <w:keepNext/>
        <w:spacing w:before="120"/>
        <w:jc w:val="center"/>
      </w:pPr>
      <w:r>
        <w:drawing>
          <wp:inline distT="0" distB="0" distL="0" distR="0">
            <wp:extent cx="4572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895600"/>
                    </a:xfrm>
                    <a:prstGeom prst="rect">
                      <a:avLst/>
                    </a:prstGeom>
                  </pic:spPr>
                </pic:pic>
              </a:graphicData>
            </a:graphic>
          </wp:inline>
        </w:drawing>
      </w:r>
    </w:p>
    <w:p>
      <w:pPr>
        <w:spacing w:after="120"/>
        <w:jc w:val="center"/>
      </w:pPr>
      <w:r>
        <w:rPr>
          <w:i/>
          <w:iCs/>
          <w:sz w:val="18"/>
          <w:szCs w:val="18"/>
        </w:rPr>
        <w:t xml:space="preserve">Figura 10. Histograma de sales_amount (Micro)</w:t>
      </w:r>
    </w:p>
    <w:p>
      <w:pPr>
        <w:spacing w:after="120"/>
      </w:pPr>
      <w:r>
        <w:rPr>
          <w:b/>
          <w:bCs/>
        </w:rPr>
        <w:t xml:space="preserve">Interpretación:</w:t>
      </w:r>
      <w:r>
        <w:t xml:space="preserve"> media $132.20 y σ $88.84. El intervalo más frecuente es </w:t>
      </w:r>
      <w:r>
        <w:rPr>
          <w:b/>
          <w:bCs/>
        </w:rPr>
        <w:t xml:space="preserve">$58.06 – $102.41</w:t>
      </w:r>
      <w:r>
        <w:t xml:space="preserve"> (27.22% de las transacciones); el 50% central está entre $67.05 y $173.80. La distribución tiene sesgo a la derecha (mediana $109.66 &lt; media) y no sigue la curva normal: la normal predice valores negativos que no existen. 12,002 transacciones (0.50%) quedan fuera de ±3.5σ, con máximo de $1,033.92. </w:t>
      </w:r>
      <w:r>
        <w:rPr>
          <w:b/>
          <w:bCs/>
        </w:rPr>
        <w:t xml:space="preserve">Conclusión:</w:t>
      </w:r>
      <w:r>
        <w:t xml:space="preserve"> la mayoría de las compras son de bajo monto, con pocas compras grandes.</w:t>
      </w:r>
    </w:p>
    <w:p>
      <w:pPr>
        <w:keepNext/>
        <w:spacing w:before="120"/>
        <w:jc w:val="center"/>
      </w:pPr>
      <w:r>
        <w:drawing>
          <wp:inline distT="0" distB="0" distL="0" distR="0">
            <wp:extent cx="4572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00375"/>
                    </a:xfrm>
                    <a:prstGeom prst="rect">
                      <a:avLst/>
                    </a:prstGeom>
                  </pic:spPr>
                </pic:pic>
              </a:graphicData>
            </a:graphic>
          </wp:inline>
        </w:drawing>
      </w:r>
    </w:p>
    <w:p>
      <w:pPr>
        <w:spacing w:after="120"/>
        <w:jc w:val="center"/>
      </w:pPr>
      <w:r>
        <w:rPr>
          <w:i/>
          <w:iCs/>
          <w:sz w:val="18"/>
          <w:szCs w:val="18"/>
        </w:rPr>
        <w:t xml:space="preserve">Figura 11. Histograma de Annual_Total_Spend (Micro)</w:t>
      </w:r>
    </w:p>
    <w:p>
      <w:pPr>
        <w:spacing w:after="120"/>
      </w:pPr>
      <w:r>
        <w:rPr>
          <w:b/>
          <w:bCs/>
        </w:rPr>
        <w:t xml:space="preserve">Interpretación:</w:t>
      </w:r>
      <w:r>
        <w:t xml:space="preserve"> media $10,871.76 y σ $12,195.31 (la desviación es mayor que la media). El intervalo más frecuente es </w:t>
      </w:r>
      <w:r>
        <w:rPr>
          <w:b/>
          <w:bCs/>
        </w:rPr>
        <w:t xml:space="preserve">$150.00 – $5,304.79</w:t>
      </w:r>
      <w:r>
        <w:t xml:space="preserve"> (42.70% de los registros); el 50% central está entre $2,654.40 y $14,675.08. Fuerte sesgo a la derecha: 34,833 registros (1.45%) quedan fuera de ±3.5σ, con máximo de $118,710.24. </w:t>
      </w:r>
      <w:r>
        <w:rPr>
          <w:b/>
          <w:bCs/>
        </w:rPr>
        <w:t xml:space="preserve">Conclusión:</w:t>
      </w:r>
      <w:r>
        <w:t xml:space="preserve"> la mayoría de los clientes gasta poco al año y un grupo reducido de clientes de muy alto valor eleva el promedio.</w:t>
      </w:r>
    </w:p>
    <w:p>
      <w:pPr>
        <w:keepNext/>
        <w:spacing w:before="120"/>
        <w:jc w:val="center"/>
      </w:pPr>
      <w:r>
        <w:drawing>
          <wp:inline distT="0" distB="0" distL="0" distR="0">
            <wp:extent cx="4572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924175"/>
                    </a:xfrm>
                    <a:prstGeom prst="rect">
                      <a:avLst/>
                    </a:prstGeom>
                  </pic:spPr>
                </pic:pic>
              </a:graphicData>
            </a:graphic>
          </wp:inline>
        </w:drawing>
      </w:r>
    </w:p>
    <w:p>
      <w:pPr>
        <w:spacing w:after="120"/>
        <w:jc w:val="center"/>
      </w:pPr>
      <w:r>
        <w:rPr>
          <w:i/>
          <w:iCs/>
          <w:sz w:val="18"/>
          <w:szCs w:val="18"/>
        </w:rPr>
        <w:t xml:space="preserve">Figura 12. Histograma de Cumplimiento_Venta_Esperada (Macro)</w:t>
      </w:r>
    </w:p>
    <w:p>
      <w:pPr>
        <w:spacing w:after="120"/>
      </w:pPr>
      <w:r>
        <w:rPr>
          <w:b/>
          <w:bCs/>
        </w:rPr>
        <w:t xml:space="preserve">Interpretación:</w:t>
      </w:r>
      <w:r>
        <w:t xml:space="preserve"> media 15.69% y σ 9.64. El intervalo más frecuente es </w:t>
      </w:r>
      <w:r>
        <w:rPr>
          <w:b/>
          <w:bCs/>
        </w:rPr>
        <w:t xml:space="preserve">6.20% – 9.64%</w:t>
      </w:r>
      <w:r>
        <w:t xml:space="preserve"> (28.62% de los registros mensuales); el 50% central está entre 8.11% y 21.25%. Sesgo a la derecha (mediana 12.01%); solo 22 registros (0.10%) quedan fuera de ±3.5σ, máximo 57.81%. </w:t>
      </w:r>
      <w:r>
        <w:rPr>
          <w:b/>
          <w:bCs/>
        </w:rPr>
        <w:t xml:space="preserve">Conclusión:</w:t>
      </w:r>
      <w:r>
        <w:t xml:space="preserve"> en la gran mayoría de los productos-región-mes se vende menos de una cuarta parte de lo esperado: la demanda se sobreestima sistemáticamente.</w:t>
      </w:r>
    </w:p>
    <w:p>
      <w:pPr>
        <w:keepNext/>
        <w:spacing w:before="120"/>
        <w:jc w:val="center"/>
      </w:pPr>
      <w:r>
        <w:drawing>
          <wp:inline distT="0" distB="0" distL="0" distR="0">
            <wp:extent cx="4572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867025"/>
                    </a:xfrm>
                    <a:prstGeom prst="rect">
                      <a:avLst/>
                    </a:prstGeom>
                  </pic:spPr>
                </pic:pic>
              </a:graphicData>
            </a:graphic>
          </wp:inline>
        </w:drawing>
      </w:r>
    </w:p>
    <w:p>
      <w:pPr>
        <w:spacing w:after="120"/>
        <w:jc w:val="center"/>
      </w:pPr>
      <w:r>
        <w:rPr>
          <w:i/>
          <w:iCs/>
          <w:sz w:val="18"/>
          <w:szCs w:val="18"/>
        </w:rPr>
        <w:t xml:space="preserve">Figura 13. Histograma de Dias_Cobertura_Inventario (Macro)</w:t>
      </w:r>
    </w:p>
    <w:p>
      <w:pPr>
        <w:spacing w:after="120"/>
      </w:pPr>
      <w:r>
        <w:rPr>
          <w:b/>
          <w:bCs/>
        </w:rPr>
        <w:t xml:space="preserve">Interpretación:</w:t>
      </w:r>
      <w:r>
        <w:t xml:space="preserve"> media 289.35 días y σ 152.04. El intervalo más frecuente es </w:t>
      </w:r>
      <w:r>
        <w:rPr>
          <w:b/>
          <w:bCs/>
        </w:rPr>
        <w:t xml:space="preserve">120.02 – 203.85 días</w:t>
      </w:r>
      <w:r>
        <w:t xml:space="preserve"> (24.52% de los registros); el 50% central está entre 165.30 y 383.27 días. Sesgo a la derecha (mediana 266.59); 93 registros (0.43%) quedan fuera de ±3.5σ, máximo 1,377.41 días. </w:t>
      </w:r>
      <w:r>
        <w:rPr>
          <w:b/>
          <w:bCs/>
        </w:rPr>
        <w:t xml:space="preserve">Conclusión:</w:t>
      </w:r>
      <w:r>
        <w:t xml:space="preserve"> el inventario típico tarda entre 5 y 13 meses en desplazarse, lo que indica sobrestock y capital inmovilizado.</w:t>
      </w:r>
    </w:p>
    <w:p>
      <w:pPr>
        <w:pStyle w:val="Heading3"/>
        <w:spacing w:after="80" w:before="120"/>
      </w:pPr>
      <w:r>
        <w:t xml:space="preserve">Intervalos más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2760"/>
        <w:gridCol w:w="1900"/>
      </w:tblGrid>
      <w:tr>
        <w:trPr>
          <w:tblHeader/>
        </w:trPr>
        <w:tc>
          <w:tcPr>
            <w:tcW w:type="dxa" w:w="3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N.º de intervalos</w:t>
            </w:r>
          </w:p>
        </w:tc>
        <w:tc>
          <w:tcPr>
            <w:tcW w:type="dxa" w:w="27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Intervalo más frecuente</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de los datos</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$58.06 – $102.41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27.22%</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$150.00 – $5,304.79</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42.70%</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6.20% – 9.64%</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28.62%</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120.02 – 203.85 días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w:t>
            </w:r>
          </w:p>
        </w:tc>
      </w:tr>
    </w:tbl>
    <w:p>
      <w:pPr>
        <w:pStyle w:val="Heading2"/>
        <w:spacing w:after="100" w:before="180"/>
      </w:pPr>
      <w:r>
        <w:t xml:space="preserve">D. Conclusión de histogramas y boxplots</w:t>
      </w:r>
    </w:p>
    <w:p>
      <w:pPr>
        <w:spacing w:after="120"/>
      </w:pPr>
      <w:r>
        <w:t xml:space="preserve">Ninguna variable continua sigue una distribución normal: en todas la media es mayor que la mediana (sesgo a la derecha), con la mayoría de los valores en la parte baja y una cola de valores altos. Los valores fuera de ±3.5σ son menos del 1.5% en todos los casos y corresponden a casos reales del negocio (compras grandes, clientes de alto valor, productos con muy baja rotación), por lo que no se eliminan.</w:t>
      </w:r>
    </w:p>
    <w:p>
      <w:pPr>
        <w:pStyle w:val="Heading2"/>
        <w:spacing w:after="100" w:before="180"/>
      </w:pPr>
      <w:r>
        <w:t xml:space="preserve">E. Boxplots de todas las variables cuantitativas</w:t>
      </w:r>
    </w:p>
    <w:p>
      <w:pPr>
        <w:spacing w:after="120"/>
      </w:pPr>
      <w:r>
        <w:t xml:space="preserve">Se graficaron todas las variables cuantitativas de ambos niveles. Los outliers se calculan con Q1 − 1.5·IQR y Q3 + 1.5·IQR. Se usó escala logarítmica cuando la asimetría es mayor a 2.</w:t>
      </w:r>
    </w:p>
    <w:p>
      <w:pPr>
        <w:pStyle w:val="Heading3"/>
        <w:spacing w:after="80" w:before="120"/>
      </w:pPr>
      <w:r>
        <w:t xml:space="preserve">Variables cuantitativas Macro (Mensual)</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14. Boxplot de units_expected (Macro)</w:t>
      </w:r>
    </w:p>
    <w:p>
      <w:pPr>
        <w:spacing w:after="120"/>
      </w:pPr>
      <w:r>
        <w:rPr>
          <w:b/>
          <w:bCs/>
        </w:rPr>
        <w:t xml:space="preserve">units_expected</w:t>
      </w:r>
      <w:r>
        <w:t xml:space="preserve"> – Unidades esperadas por producto-región-mes. Q1 = 888.75, mediana = 1,192.00, Q3 = 1,507.00. </w:t>
      </w:r>
      <w:r>
        <w:rPr>
          <w:b/>
          <w:bCs/>
        </w:rPr>
        <w:t xml:space="preserve">Outliers</w:t>
      </w:r>
      <w:r>
        <w:t xml:space="preserve"> a partir de 2,434.38 (125 registros), 0.57% de los datos; máximo 3,111.00.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15. Boxplot de stock (Macro)</w:t>
      </w:r>
    </w:p>
    <w:p>
      <w:pPr>
        <w:spacing w:after="120"/>
      </w:pPr>
      <w:r>
        <w:rPr>
          <w:b/>
          <w:bCs/>
        </w:rPr>
        <w:t xml:space="preserve">stock</w:t>
      </w:r>
      <w:r>
        <w:t xml:space="preserve"> – Inventario disponible en el mes. Q1 = 930.00, mediana = 1,279.00, Q3 = 1,703.00. </w:t>
      </w:r>
      <w:r>
        <w:rPr>
          <w:b/>
          <w:bCs/>
        </w:rPr>
        <w:t xml:space="preserve">Outliers</w:t>
      </w:r>
      <w:r>
        <w:t xml:space="preserve"> a partir de 2,862.50 (264 registros), 1.21% de los datos; máximo 4,732.00.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16. Boxplot de percentage (Macro)</w:t>
      </w:r>
    </w:p>
    <w:p>
      <w:pPr>
        <w:spacing w:after="120"/>
      </w:pPr>
      <w:r>
        <w:rPr>
          <w:b/>
          <w:bCs/>
        </w:rPr>
        <w:t xml:space="preserve">percentage</w:t>
      </w:r>
      <w:r>
        <w:t xml:space="preserve"> – Stock como % de lo esperado. Q1 = 99.21%, mediana = 109.77%, Q3 = 120.38%. </w:t>
      </w:r>
      <w:r>
        <w:rPr>
          <w:b/>
          <w:bCs/>
        </w:rPr>
        <w:t xml:space="preserve">Outliers</w:t>
      </w:r>
      <w:r>
        <w:t xml:space="preserve"> a partir de 152.14% (54 registros) y por debajo de 67.45% (64 registros), 0.54% de los datos; máximo 270.52%. La mitad central tiene entre 99% y 120% del stock esperado; los outliers en ambos lados son productos con stock muy por debajo o muy por encima de lo planeado.</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17. Boxplot de units_sold (Macro)</w:t>
      </w:r>
    </w:p>
    <w:p>
      <w:pPr>
        <w:spacing w:after="120"/>
      </w:pPr>
      <w:r>
        <w:rPr>
          <w:b/>
          <w:bCs/>
        </w:rPr>
        <w:t xml:space="preserve">units_sold</w:t>
      </w:r>
      <w:r>
        <w:t xml:space="preserve"> – Unidades vendidas en el mes. Q1 = 81.00, mediana = 138.50, Q3 = 286.00. </w:t>
      </w:r>
      <w:r>
        <w:rPr>
          <w:b/>
          <w:bCs/>
        </w:rPr>
        <w:t xml:space="preserve">Outliers</w:t>
      </w:r>
      <w:r>
        <w:t xml:space="preserve"> a partir de 593.50 (1,046 registros), 4.79% de los datos; máximo 1,240.00. Distribución sesgada a la derecha: pocos productos-región concentran ventas muy altas (Ciudad de México).</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18. Boxplot de sales_amount (Macro)</w:t>
      </w:r>
    </w:p>
    <w:p>
      <w:pPr>
        <w:spacing w:after="120"/>
      </w:pPr>
      <w:r>
        <w:rPr>
          <w:b/>
          <w:bCs/>
        </w:rPr>
        <w:t xml:space="preserve">sales_amount</w:t>
      </w:r>
      <w:r>
        <w:t xml:space="preserve"> – Ventas en pesos del mes (escala logarítmica). Q1 = $4,646.08, mediana = $9,011.64, Q3 = $18,507.54. </w:t>
      </w:r>
      <w:r>
        <w:rPr>
          <w:b/>
          <w:bCs/>
        </w:rPr>
        <w:t xml:space="preserve">Outliers</w:t>
      </w:r>
      <w:r>
        <w:t xml:space="preserve"> a partir de $39,299.74 (1,572 registros), 7.20% de los datos; máximo $153,470.47. Es la variable más sesgada (asimetría 2.65), por eso se graficó en escala logarítmica.</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19. Boxplot de static_price (Macro)</w:t>
      </w:r>
    </w:p>
    <w:p>
      <w:pPr>
        <w:spacing w:after="120"/>
      </w:pPr>
      <w:r>
        <w:rPr>
          <w:b/>
          <w:bCs/>
        </w:rPr>
        <w:t xml:space="preserve">static_price</w:t>
      </w:r>
      <w:r>
        <w:t xml:space="preserve"> – Precio del producto. Q1 = $48.67, mediana = $77.19, Q3 = $104.50. </w:t>
      </w:r>
      <w:r>
        <w:rPr>
          <w:b/>
          <w:bCs/>
        </w:rPr>
        <w:t xml:space="preserve">Outliers</w:t>
      </w:r>
      <w:r>
        <w:t xml:space="preserve"> a partir de $188.25 (840 registros), 3.85% de los datos; máximo $231.68. Los outliers son los productos más caros (principalmente Boots).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20. Boxplot de Ventas_Acumuladas_Mensual (Macro)</w:t>
      </w:r>
    </w:p>
    <w:p>
      <w:pPr>
        <w:spacing w:after="120"/>
      </w:pPr>
      <w:r>
        <w:rPr>
          <w:b/>
          <w:bCs/>
        </w:rPr>
        <w:t xml:space="preserve">Ventas_Acumuladas_Mensual</w:t>
      </w:r>
      <w:r>
        <w:t xml:space="preserve"> – Ventas acumuladas al cierre del mes. Q1 = 81.00, mediana = 138.50, Q3 = 286.00. </w:t>
      </w:r>
      <w:r>
        <w:rPr>
          <w:b/>
          <w:bCs/>
        </w:rPr>
        <w:t xml:space="preserve">Outliers</w:t>
      </w:r>
      <w:r>
        <w:t xml:space="preserve"> a partir de 593.50 (1,046 registros), 4.79% de los datos; máximo 1,240.00. Es idéntica a units_sold en el nivel mensual, por lo que aporta la misma información.</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21. Boxplot de Stock_Restante_Mensual (Macro)</w:t>
      </w:r>
    </w:p>
    <w:p>
      <w:pPr>
        <w:spacing w:after="120"/>
      </w:pPr>
      <w:r>
        <w:rPr>
          <w:b/>
          <w:bCs/>
        </w:rPr>
        <w:t xml:space="preserve">Stock_Restante_Mensual</w:t>
      </w:r>
      <w:r>
        <w:t xml:space="preserve"> – Stock al final del mes. Q1 = 806.00, mediana = 1,107.00, Q3 = 1,432.00. </w:t>
      </w:r>
      <w:r>
        <w:rPr>
          <w:b/>
          <w:bCs/>
        </w:rPr>
        <w:t xml:space="preserve">Outliers</w:t>
      </w:r>
      <w:r>
        <w:t xml:space="preserve"> a partir de 2,371.00 (214 registros), 0.98% de los datos; máximo 4,094.00.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22. Boxplot de Cumplimiento_Venta_Esperada (Macro)</w:t>
      </w:r>
    </w:p>
    <w:p>
      <w:pPr>
        <w:spacing w:after="120"/>
      </w:pPr>
      <w:r>
        <w:rPr>
          <w:b/>
          <w:bCs/>
        </w:rPr>
        <w:t xml:space="preserve">Cumplimiento_Venta_Esperada</w:t>
      </w:r>
      <w:r>
        <w:t xml:space="preserve"> – % de lo esperado que se vendió. Q1 = 8.11%, mediana = 12.01%, Q3 = 21.25%. </w:t>
      </w:r>
      <w:r>
        <w:rPr>
          <w:b/>
          <w:bCs/>
        </w:rPr>
        <w:t xml:space="preserve">Outliers</w:t>
      </w:r>
      <w:r>
        <w:t xml:space="preserve"> a partir de 40.97% (363 registros), 1.66% de los datos; máximo 57.81%. Ni el tercer cuartil llega a 22%: el cumplimiento es bajo en casi todos los registros.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23. Boxplot de Product_Repeat_Purchase_Rate (Macro)</w:t>
      </w:r>
    </w:p>
    <w:p>
      <w:pPr>
        <w:spacing w:after="120"/>
      </w:pPr>
      <w:r>
        <w:rPr>
          <w:b/>
          <w:bCs/>
        </w:rPr>
        <w:t xml:space="preserve">Product_Repeat_Purchase_Rate</w:t>
      </w:r>
      <w:r>
        <w:t xml:space="preserve"> – Tasa de recompra del producto. Q1 = 99.87%, mediana = 99.90%, Q3 = 99.92%. </w:t>
      </w:r>
      <w:r>
        <w:rPr>
          <w:b/>
          <w:bCs/>
        </w:rPr>
        <w:t xml:space="preserve">Outliers</w:t>
      </w:r>
      <w:r>
        <w:t xml:space="preserve"> por debajo de 99.80% (2,352 registros), 10.77% de los datos; máximo 100.00%. Los bigotes van solo de 99.80% a ~99.99%, así que los registros con exactamente 100% (168) también quedan como outliers. Casi todos los valores están entre 99.87% y 99.92%; la variable casi no varía, por lo que aporta poca información.</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24. Boxplot de Venta_Promedio_Diaria (Macro)</w:t>
      </w:r>
    </w:p>
    <w:p>
      <w:pPr>
        <w:spacing w:after="120"/>
      </w:pPr>
      <w:r>
        <w:rPr>
          <w:b/>
          <w:bCs/>
        </w:rPr>
        <w:t xml:space="preserve">Venta_Promedio_Diaria</w:t>
      </w:r>
      <w:r>
        <w:t xml:space="preserve"> – Unidades vendidas por día. Q1 = 2.68, mediana = 4.55, Q3 = 9.40. </w:t>
      </w:r>
      <w:r>
        <w:rPr>
          <w:b/>
          <w:bCs/>
        </w:rPr>
        <w:t xml:space="preserve">Outliers</w:t>
      </w:r>
      <w:r>
        <w:t xml:space="preserve"> a partir de 19.48 (1,042 registros), 4.77% de los datos; máximo 41.33.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25. Boxplot de Dias_Cobertura_Inventario (Macro)</w:t>
      </w:r>
    </w:p>
    <w:p>
      <w:pPr>
        <w:spacing w:after="120"/>
      </w:pPr>
      <w:r>
        <w:rPr>
          <w:b/>
          <w:bCs/>
        </w:rPr>
        <w:t xml:space="preserve">Dias_Cobertura_Inventario</w:t>
      </w:r>
      <w:r>
        <w:t xml:space="preserve"> – Días que alcanza el stock. Q1 = 165.30 días, mediana = 266.59 días, Q3 = 383.28 días. </w:t>
      </w:r>
      <w:r>
        <w:rPr>
          <w:b/>
          <w:bCs/>
        </w:rPr>
        <w:t xml:space="preserve">Outliers</w:t>
      </w:r>
      <w:r>
        <w:t xml:space="preserve"> a partir de 710.24 días (276 registros), 1.26% de los datos; máximo 1,377.41 días. La mitad central del inventario dura entre 165 y 383 días.</w:t>
      </w:r>
    </w:p>
    <w:p>
      <w:pPr>
        <w:pStyle w:val="Heading3"/>
        <w:spacing w:after="80" w:before="120"/>
      </w:pPr>
      <w:r>
        <w:t xml:space="preserve">Variables cuantitativas Micro (Diario)</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26. Boxplot de static_price (Micro)</w:t>
      </w:r>
    </w:p>
    <w:p>
      <w:pPr>
        <w:spacing w:after="120"/>
      </w:pPr>
      <w:r>
        <w:rPr>
          <w:b/>
          <w:bCs/>
        </w:rPr>
        <w:t xml:space="preserve">static_price</w:t>
      </w:r>
      <w:r>
        <w:t xml:space="preserve"> – Precio del producto en cada transacción. Q1 = $48.72, mediana = $78.51, Q3 = $106.76. </w:t>
      </w:r>
      <w:r>
        <w:rPr>
          <w:b/>
          <w:bCs/>
        </w:rPr>
        <w:t xml:space="preserve">Outliers</w:t>
      </w:r>
      <w:r>
        <w:t xml:space="preserve"> a partir de $193.82 (100,839 registros), 4.21% de los datos; máximo $231.68.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27. Boxplot de units_expected (Micro)</w:t>
      </w:r>
    </w:p>
    <w:p>
      <w:pPr>
        <w:spacing w:after="120"/>
      </w:pPr>
      <w:r>
        <w:rPr>
          <w:b/>
          <w:bCs/>
        </w:rPr>
        <w:t xml:space="preserve">units_expected</w:t>
      </w:r>
      <w:r>
        <w:t xml:space="preserve"> – Unidades esperadas del producto-región-mes de la transacción. Q1 = 1,157.00, mediana = 1,481.00, Q3 = 1,813.00. </w:t>
      </w:r>
      <w:r>
        <w:rPr>
          <w:b/>
          <w:bCs/>
        </w:rPr>
        <w:t xml:space="preserve">Outliers</w:t>
      </w:r>
      <w:r>
        <w:t xml:space="preserve"> a partir de 2,797.00 (1,006 registros), 0.04% de los datos; máximo 3,111.00.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28. Boxplot de stock (Micro)</w:t>
      </w:r>
    </w:p>
    <w:p>
      <w:pPr>
        <w:spacing w:after="120"/>
      </w:pPr>
      <w:r>
        <w:rPr>
          <w:b/>
          <w:bCs/>
        </w:rPr>
        <w:t xml:space="preserve">stock</w:t>
      </w:r>
      <w:r>
        <w:t xml:space="preserve"> – Stock del producto-región-mes. Q1 = 1,258.00, mediana = 1,688.00, Q3 = 2,138.00. </w:t>
      </w:r>
      <w:r>
        <w:rPr>
          <w:b/>
          <w:bCs/>
        </w:rPr>
        <w:t xml:space="preserve">Outliers</w:t>
      </w:r>
      <w:r>
        <w:t xml:space="preserve"> a partir de 3,458.00 (10,976 registros), 0.46% de los datos; máximo 4,732.00.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29. Boxplot de percentage (Micro)</w:t>
      </w:r>
    </w:p>
    <w:p>
      <w:pPr>
        <w:spacing w:after="120"/>
      </w:pPr>
      <w:r>
        <w:rPr>
          <w:b/>
          <w:bCs/>
        </w:rPr>
        <w:t xml:space="preserve">percentage</w:t>
      </w:r>
      <w:r>
        <w:t xml:space="preserve"> – Stock como % de lo esperado. Q1 = 104.86%, mediana = 115.15%, Q3 = 124.87%. </w:t>
      </w:r>
      <w:r>
        <w:rPr>
          <w:b/>
          <w:bCs/>
        </w:rPr>
        <w:t xml:space="preserve">Outliers</w:t>
      </w:r>
      <w:r>
        <w:t xml:space="preserve"> a partir de 154.89% (5,825 registros) y por debajo de 74.85% (14,248 registros), 0.84% de los datos; máximo 270.52%.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30. Boxplot de units_sold (Micro)</w:t>
      </w:r>
    </w:p>
    <w:p>
      <w:pPr>
        <w:spacing w:after="120"/>
      </w:pPr>
      <w:r>
        <w:rPr>
          <w:b/>
          <w:bCs/>
        </w:rPr>
        <w:t xml:space="preserve">units_sold</w:t>
      </w:r>
      <w:r>
        <w:t xml:space="preserve"> – Piezas por transacción. Q1 = 1.00, mediana = 2.00, Q3 = 2.00. </w:t>
      </w:r>
      <w:r>
        <w:rPr>
          <w:b/>
          <w:bCs/>
        </w:rPr>
        <w:t xml:space="preserve">Outliers</w:t>
      </w:r>
      <w:r>
        <w:t xml:space="preserve"> a partir de 3.50 (129,302 registros), 5.40% de los datos; máximo 6.00. Los outliers son las compras de 4, 5 y 6 piezas.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31. Boxplot de sales_amount (Micro)</w:t>
      </w:r>
    </w:p>
    <w:p>
      <w:pPr>
        <w:spacing w:after="120"/>
      </w:pPr>
      <w:r>
        <w:rPr>
          <w:b/>
          <w:bCs/>
        </w:rPr>
        <w:t xml:space="preserve">sales_amount</w:t>
      </w:r>
      <w:r>
        <w:t xml:space="preserve"> – Monto por transacción. Q1 = $67.05, mediana = $109.66, Q3 = $173.80. </w:t>
      </w:r>
      <w:r>
        <w:rPr>
          <w:b/>
          <w:bCs/>
        </w:rPr>
        <w:t xml:space="preserve">Outliers</w:t>
      </w:r>
      <w:r>
        <w:t xml:space="preserve"> a partir de $333.93 (91,973 registros), 3.84% de los datos; máximo $1,033.92. La mayoría de las compras son de bajo monto; las compras grandes son poco frecuentes.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32. Boxplot de Age (Micro)</w:t>
      </w:r>
    </w:p>
    <w:p>
      <w:pPr>
        <w:spacing w:after="120"/>
      </w:pPr>
      <w:r>
        <w:rPr>
          <w:b/>
          <w:bCs/>
        </w:rPr>
        <w:t xml:space="preserve">Age</w:t>
      </w:r>
      <w:r>
        <w:t xml:space="preserve"> – Edad del cliente. Q1 = 31.00 años, mediana = 42.00 años, Q3 = 55.00 años. </w:t>
      </w:r>
      <w:r>
        <w:rPr>
          <w:b/>
          <w:bCs/>
        </w:rPr>
        <w:t xml:space="preserve">Sin outliers:</w:t>
      </w:r>
      <w:r>
        <w:t xml:space="preserve"> todos los valores están dentro de los bigotes (18.00 años a 85.00 años). La edad está bien distribuida entre 18 y 85 años, sin valores atípicos.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33. Boxplot de Num_Children (Micro)</w:t>
      </w:r>
    </w:p>
    <w:p>
      <w:pPr>
        <w:spacing w:after="120"/>
      </w:pPr>
      <w:r>
        <w:rPr>
          <w:b/>
          <w:bCs/>
        </w:rPr>
        <w:t xml:space="preserve">Num_Children</w:t>
      </w:r>
      <w:r>
        <w:t xml:space="preserve"> – Número de hijos. Q1 = 0.00, mediana = 1.00, Q3 = 2.00. </w:t>
      </w:r>
      <w:r>
        <w:rPr>
          <w:b/>
          <w:bCs/>
        </w:rPr>
        <w:t xml:space="preserve">Sin outliers:</w:t>
      </w:r>
      <w:r>
        <w:t xml:space="preserve"> todos los valores están dentro de los bigotes (0.00 a 4.00).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34. Boxplot de Monthly_Salary (Micro)</w:t>
      </w:r>
    </w:p>
    <w:p>
      <w:pPr>
        <w:spacing w:after="120"/>
      </w:pPr>
      <w:r>
        <w:rPr>
          <w:b/>
          <w:bCs/>
        </w:rPr>
        <w:t xml:space="preserve">Monthly_Salary</w:t>
      </w:r>
      <w:r>
        <w:t xml:space="preserve"> – Salario mensual del cliente. Q1 = $15,328.37, mediana = $24,354.20, Q3 = $35,059.55. </w:t>
      </w:r>
      <w:r>
        <w:rPr>
          <w:b/>
          <w:bCs/>
        </w:rPr>
        <w:t xml:space="preserve">Outliers</w:t>
      </w:r>
      <w:r>
        <w:t xml:space="preserve"> a partir de $64,656.32 (55,277 registros), 2.31% de los datos; máximo $131,964.38. Los outliers son clientes de ingresos altos.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35. Boxplot de Client_Seniority_Years (Micro)</w:t>
      </w:r>
    </w:p>
    <w:p>
      <w:pPr>
        <w:spacing w:after="120"/>
      </w:pPr>
      <w:r>
        <w:rPr>
          <w:b/>
          <w:bCs/>
        </w:rPr>
        <w:t xml:space="preserve">Client_Seniority_Years</w:t>
      </w:r>
      <w:r>
        <w:t xml:space="preserve"> – Antigüedad del cliente en años. Q1 = 2.49 años, mediana = 4.97 años, Q3 = 7.51 años. </w:t>
      </w:r>
      <w:r>
        <w:rPr>
          <w:b/>
          <w:bCs/>
        </w:rPr>
        <w:t xml:space="preserve">Sin outliers:</w:t>
      </w:r>
      <w:r>
        <w:t xml:space="preserve"> todos los valores están dentro de los bigotes (0.01 años a 10.01 años). Distribución casi uniforme entre 0 y 10 años.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36. Boxplot de Annual_Purchase_Frequency (Micro)</w:t>
      </w:r>
    </w:p>
    <w:p>
      <w:pPr>
        <w:spacing w:after="120"/>
      </w:pPr>
      <w:r>
        <w:rPr>
          <w:b/>
          <w:bCs/>
        </w:rPr>
        <w:t xml:space="preserve">Annual_Purchase_Frequency</w:t>
      </w:r>
      <w:r>
        <w:t xml:space="preserve"> – Compras al año. Q1 = 3.00, mediana = 5.00, Q3 = 8.00. </w:t>
      </w:r>
      <w:r>
        <w:rPr>
          <w:b/>
          <w:bCs/>
        </w:rPr>
        <w:t xml:space="preserve">Outliers</w:t>
      </w:r>
      <w:r>
        <w:t xml:space="preserve"> a partir de 15.50 (31,996 registros), 1.34% de los datos; máximo 26.00. Los outliers son los clientes de 16 compras o más.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37. Boxplot de Average_Ticket (Micro)</w:t>
      </w:r>
    </w:p>
    <w:p>
      <w:pPr>
        <w:spacing w:after="120"/>
      </w:pPr>
      <w:r>
        <w:rPr>
          <w:b/>
          <w:bCs/>
        </w:rPr>
        <w:t xml:space="preserve">Average_Ticket</w:t>
      </w:r>
      <w:r>
        <w:t xml:space="preserve"> – Ticket promedio del cliente. Q1 = $820.14, mediana = $1,369.96, Q3 = $2,015.81. </w:t>
      </w:r>
      <w:r>
        <w:rPr>
          <w:b/>
          <w:bCs/>
        </w:rPr>
        <w:t xml:space="preserve">Outliers</w:t>
      </w:r>
      <w:r>
        <w:t xml:space="preserve"> a partir de $3,809.32 (50,116 registros), 2.09% de los datos; máximo $8,035.34. Su escala es mucho mayor que sales_amount (mediana $1,369.96 contra $109.66), por lo que mide algo distinto al monto por transacción.</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38. Boxplot de Annual_Total_Spend (Micro)</w:t>
      </w:r>
    </w:p>
    <w:p>
      <w:pPr>
        <w:spacing w:after="120"/>
      </w:pPr>
      <w:r>
        <w:rPr>
          <w:b/>
          <w:bCs/>
        </w:rPr>
        <w:t xml:space="preserve">Annual_Total_Spend</w:t>
      </w:r>
      <w:r>
        <w:t xml:space="preserve"> – Gasto anual del cliente (escala logarítmica). Q1 = $2,654.40, mediana = $6,718.08, Q3 = $14,675.08. </w:t>
      </w:r>
      <w:r>
        <w:rPr>
          <w:b/>
          <w:bCs/>
        </w:rPr>
        <w:t xml:space="preserve">Outliers</w:t>
      </w:r>
      <w:r>
        <w:t xml:space="preserve"> a partir de $32,706.10 (145,907 registros), 6.09% de los datos; máximo $118,710.24. Muy sesgada (asimetría 2.29), por eso se graficó en escala logarítmica.</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39. Boxplot de Ventas_Acumuladas (Micro)</w:t>
      </w:r>
    </w:p>
    <w:p>
      <w:pPr>
        <w:spacing w:after="120"/>
      </w:pPr>
      <w:r>
        <w:rPr>
          <w:b/>
          <w:bCs/>
        </w:rPr>
        <w:t xml:space="preserve">Ventas_Acumuladas</w:t>
      </w:r>
      <w:r>
        <w:t xml:space="preserve"> – Ventas acumuladas en el mes hasta la transacción. Q1 = 54.00, mediana = 126.00, Q3 = 258.00. </w:t>
      </w:r>
      <w:r>
        <w:rPr>
          <w:b/>
          <w:bCs/>
        </w:rPr>
        <w:t xml:space="preserve">Outliers</w:t>
      </w:r>
      <w:r>
        <w:t xml:space="preserve"> a partir de 564.00 (81,375 registros), 3.40% de los datos; máximo 1,240.00.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40. Boxplot de Stock_Restante (Micro)</w:t>
      </w:r>
    </w:p>
    <w:p>
      <w:pPr>
        <w:spacing w:after="120"/>
      </w:pPr>
      <w:r>
        <w:rPr>
          <w:b/>
          <w:bCs/>
        </w:rPr>
        <w:t xml:space="preserve">Stock_Restante</w:t>
      </w:r>
      <w:r>
        <w:t xml:space="preserve"> – Stock restante después de la transacción. Q1 = 1,138.00, mediana = 1,505.00, Q3 = 1,903.00. </w:t>
      </w:r>
      <w:r>
        <w:rPr>
          <w:b/>
          <w:bCs/>
        </w:rPr>
        <w:t xml:space="preserve">Outliers</w:t>
      </w:r>
      <w:r>
        <w:t xml:space="preserve"> a partir de 3,050.50 (16,645 registros), 0.69% de los datos; máximo 4,729.00.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41. Boxplot de Cumplimiento_Venta_Esperada (Micro)</w:t>
      </w:r>
    </w:p>
    <w:p>
      <w:pPr>
        <w:spacing w:after="120"/>
      </w:pPr>
      <w:r>
        <w:rPr>
          <w:b/>
          <w:bCs/>
        </w:rPr>
        <w:t xml:space="preserve">Cumplimiento_Venta_Esperada</w:t>
      </w:r>
      <w:r>
        <w:t xml:space="preserve"> – % de cumplimiento del producto-región-mes de la transacción. Q1 = 13.51%, mediana = 22.04%, Q3 = 31.21%. </w:t>
      </w:r>
      <w:r>
        <w:rPr>
          <w:b/>
          <w:bCs/>
        </w:rPr>
        <w:t xml:space="preserve">Outliers</w:t>
      </w:r>
      <w:r>
        <w:t xml:space="preserve"> a partir de 57.76% (184 registros), 0.01% de los datos; máximo 57.81%. Cada transacción repite el cumplimiento final de su producto-región-mes; como los productos con mayor cumplimiento tienen más transacciones, la mediana (22.04%) es mayor que en el nivel macro (12.01%).</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42. Boxplot de Repeat_Purchase_Rate (Micro)</w:t>
      </w:r>
    </w:p>
    <w:p>
      <w:pPr>
        <w:spacing w:after="120"/>
      </w:pPr>
      <w:r>
        <w:rPr>
          <w:b/>
          <w:bCs/>
        </w:rPr>
        <w:t xml:space="preserve">Repeat_Purchase_Rate</w:t>
      </w:r>
      <w:r>
        <w:t xml:space="preserve"> – Tasa de recompra. Q1 = 100.00%, mediana = 100.00%, Q3 = 100.00%. </w:t>
      </w:r>
      <w:r>
        <w:rPr>
          <w:b/>
          <w:bCs/>
        </w:rPr>
        <w:t xml:space="preserve">Outliers</w:t>
      </w:r>
      <w:r>
        <w:t xml:space="preserve"> por debajo de 100.00% (151,710 registros), 6.33% de los datos; máximo 100.00%. Q1, mediana y Q3 valen 100: cualquier valor menor aparece como outlier. La variable aporta poca información.</w:t>
      </w:r>
    </w:p>
    <w:p>
      <w:pPr>
        <w:pStyle w:val="Heading1"/>
        <w:spacing w:after="120" w:before="240"/>
      </w:pPr>
      <w:r>
        <w:t xml:space="preserve">V. Análisis de variables cuantitativas respecto a variables cualitativas</w:t>
      </w:r>
    </w:p>
    <w:p>
      <w:pPr>
        <w:spacing w:after="120"/>
      </w:pPr>
      <w:r>
        <w:t xml:space="preserve">Para cada variable cualitativa se graficaron boxplots de las variables cuantitativas de su mismo nivel, incluyendo una caja gris de "Todos los datos" como referencia. En subcategory se aplicó la regla del 70% de las unidades vendidas. Los límites de outliers se reportan por categoría.</w:t>
      </w:r>
    </w:p>
    <w:p>
      <w:pPr>
        <w:pStyle w:val="Heading2"/>
        <w:spacing w:after="100" w:before="180"/>
      </w:pPr>
      <w:r>
        <w:t xml:space="preserve">5.1 Nivel Macro (Mensual)</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43. Boxplots por category (Macro)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600"/>
        <w:gridCol w:w="1800"/>
        <w:gridCol w:w="1700"/>
        <w:gridCol w:w="1700"/>
      </w:tblGrid>
      <w:tr>
        <w:trPr>
          <w:tblHeader/>
        </w:trPr>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w:t>
            </w:r>
          </w:p>
        </w:tc>
        <w:tc>
          <w:tcPr>
            <w:tcW w:type="dxa" w:w="1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units_sold</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sales_amount</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Cumplimiento %</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Días cobertura</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Casual 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$8,659.83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12.52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253.27</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Fitness 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$7,673.12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254.02</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$12,910.62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288.05</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Accessories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127.50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$6,900.57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11.91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270.53</w:t>
            </w:r>
          </w:p>
        </w:tc>
      </w:tr>
    </w:tbl>
    <w:p>
      <w:pPr>
        <w:spacing w:after="120"/>
      </w:pPr>
      <w:r>
        <w:rPr>
          <w:b/>
          <w:bCs/>
        </w:rPr>
        <w:t xml:space="preserve">Interpretación (medianas):</w:t>
      </w:r>
      <w:r>
        <w:t xml:space="preserve"> las diferencias entre categorías son pequeñas. Casual Wear tiene la mediana más alta de unidades (155.5), pero Footwear genera más monto ($12,910.62) por su mayor precio; a la vez, Footwear tiene el menor cumplimiento (10.99%) y la mayor cobertura (288 días). </w:t>
      </w:r>
      <w:r>
        <w:rPr>
          <w:b/>
          <w:bCs/>
        </w:rPr>
        <w:t xml:space="preserve">Outliers:</w:t>
      </w:r>
      <w:r>
        <w:t xml:space="preserve"> unidades a partir de 557.5 (Accessories) a 684.5 (Casual Wear); monto de $31,229.45 (Accessories) a $55,601.91 (Footwear); cumplimiento de 37.15% (Footwear) a 43.24% (Casual Wear); cobertura de 662.50 (Fitness Wear) a 789.24 días (Footwear).</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44. Boxplots por subcategory (Macro)</w:t>
      </w:r>
    </w:p>
    <w:p>
      <w:pPr>
        <w:spacing w:after="120"/>
      </w:pPr>
      <w:r>
        <w:rPr>
          <w:b/>
          <w:bCs/>
        </w:rPr>
        <w:t xml:space="preserve">Interpretación:</w:t>
      </w:r>
      <w:r>
        <w:t xml:space="preserve"> se muestran Sneakers, Bottoms, Shirts, Pants, Dresses, Tops, Boots y Sandals (70% de las unidades vendidas); el resto se agrupa en "Otras". Bottoms tiene la mediana más alta de unidades (165) y Boots la de monto ($19,624.73). Las subcategorías de mayor precio (Boots, Sneakers y Bags) tienen el menor cumplimiento (10.17–10.29%) y la mayor cobertura (305–312 días): son las que más sobrestock acumulan. </w:t>
      </w:r>
      <w:r>
        <w:rPr>
          <w:b/>
          <w:bCs/>
        </w:rPr>
        <w:t xml:space="preserve">Outliers:</w:t>
      </w:r>
      <w:r>
        <w:t xml:space="preserve"> monto a partir de $20,053.27 (Belts) hasta $79,290.15 (Boots); cobertura a partir de 656.45 (Belts) hasta 828.38 días (Sneakers).</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45. Boxplots por region (Macro)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600"/>
        <w:gridCol w:w="1800"/>
        <w:gridCol w:w="1700"/>
        <w:gridCol w:w="1700"/>
      </w:tblGrid>
      <w:tr>
        <w:trPr>
          <w:tblHeader/>
        </w:trPr>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Región</w:t>
            </w:r>
          </w:p>
        </w:tc>
        <w:tc>
          <w:tcPr>
            <w:tcW w:type="dxa" w:w="1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units_sold</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sales_amount</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Cumplimiento %</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Días cobertura</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512.50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$30,778.03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33.29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109.31</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ZM Monterrey</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318.00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$18,922.20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22.44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159.64</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ZM Guadalajara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$13,795.21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17.41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201.38</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Bajío</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$8,110.71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11.40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294.69</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Noroeste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$5,706.37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8.70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364.66</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79.00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$4,567.57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364.08</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Sureste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$3,949.32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472.26</w:t>
            </w:r>
          </w:p>
        </w:tc>
      </w:tr>
    </w:tbl>
    <w:p>
      <w:pPr>
        <w:pStyle w:val="ListParagraph"/>
        <w:numPr>
          <w:ilvl w:val="0"/>
          <w:numId w:val="2"/>
        </w:numPr>
        <w:spacing w:after="60"/>
      </w:pPr>
      <w:r>
        <w:rPr>
          <w:b/>
          <w:bCs/>
        </w:rPr>
        <w:t xml:space="preserve">units_sold y sales_amount:</w:t>
      </w:r>
      <w:r>
        <w:t xml:space="preserve"> jerarquía clara: Ciudad de México vende 7.6 veces más unidades que Sureste (mediana 512.5 vs. 67) y casi 8 veces más en monto. Los outliers cambian mucho por región: unidades a partir de 135.38 (Sureste) a 989.00 (Ciudad de México); monto de $11,400.73 a $86,597.36.</w:t>
      </w:r>
    </w:p>
    <w:p>
      <w:pPr>
        <w:pStyle w:val="ListParagraph"/>
        <w:numPr>
          <w:ilvl w:val="0"/>
          <w:numId w:val="2"/>
        </w:numPr>
        <w:spacing w:after="60"/>
      </w:pPr>
      <w:r>
        <w:rPr>
          <w:b/>
          <w:bCs/>
        </w:rPr>
        <w:t xml:space="preserve">Cumplimiento_Venta_Esperada:</w:t>
      </w:r>
      <w:r>
        <w:t xml:space="preserve"> mismo orden: de 33.29% en Ciudad de México a 6.58% en Sureste. Outliers a partir de 10.99% en Sureste hasta 47.59% en Ciudad de México.</w:t>
      </w:r>
    </w:p>
    <w:p>
      <w:pPr>
        <w:pStyle w:val="ListParagraph"/>
        <w:numPr>
          <w:ilvl w:val="0"/>
          <w:numId w:val="2"/>
        </w:numPr>
        <w:spacing w:after="60"/>
      </w:pPr>
      <w:r>
        <w:rPr>
          <w:b/>
          <w:bCs/>
        </w:rPr>
        <w:t xml:space="preserve">Dias_Cobertura_Inventario:</w:t>
      </w:r>
      <w:r>
        <w:t xml:space="preserve"> comportamiento inverso: de 109 días en Ciudad de México a 472 días en Sureste. Outliers a partir de 168 días en Ciudad de México hasta 820.94 días en Sureste. </w:t>
      </w:r>
      <w:r>
        <w:rPr>
          <w:b/>
          <w:bCs/>
        </w:rPr>
        <w:t xml:space="preserve">Conclusión:</w:t>
      </w:r>
      <w:r>
        <w:t xml:space="preserve"> las regiones con menos venta reciben inventario proporcionalmente excesivo; conviene redistribuirlo hacia las zonas metropolitanas.</w:t>
      </w:r>
    </w:p>
    <w:p>
      <w:pPr>
        <w:pStyle w:val="Heading2"/>
        <w:spacing w:after="100" w:before="180"/>
      </w:pPr>
      <w:r>
        <w:t xml:space="preserve">5.2 Nivel Micro (Diario)</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46. Boxplots por category (Micro)</w:t>
      </w:r>
    </w:p>
    <w:p>
      <w:pPr>
        <w:spacing w:after="120"/>
      </w:pPr>
      <w:r>
        <w:rPr>
          <w:b/>
          <w:bCs/>
        </w:rPr>
        <w:t xml:space="preserve">Interpretación:</w:t>
      </w:r>
      <w:r>
        <w:t xml:space="preserve"> </w:t>
      </w:r>
      <w:r>
        <w:rPr>
          <w:b/>
          <w:bCs/>
        </w:rPr>
        <w:t xml:space="preserve">units_sold:</w:t>
      </w:r>
      <w:r>
        <w:t xml:space="preserve"> Accessories y Footwear tienen Q3 de 2 piezas y outliers a partir de 4; Casual Wear y Fitness Wear tienen Q3 de 3 y no presentan outliers. </w:t>
      </w:r>
      <w:r>
        <w:rPr>
          <w:b/>
          <w:bCs/>
        </w:rPr>
        <w:t xml:space="preserve">sales_amount:</w:t>
      </w:r>
      <w:r>
        <w:t xml:space="preserve"> Footwear tiene el ticket más alto (mediana $159.74 contra $90.02–92.03 del resto); outliers a partir de $283.06 (Fitness Wear) a $419.14 (Footwear). </w:t>
      </w:r>
      <w:r>
        <w:rPr>
          <w:b/>
          <w:bCs/>
        </w:rPr>
        <w:t xml:space="preserve">Annual_Purchase_Frequency</w:t>
      </w:r>
      <w:r>
        <w:t xml:space="preserve"> (mediana 5, outliers desde 16 compras) y </w:t>
      </w:r>
      <w:r>
        <w:rPr>
          <w:b/>
          <w:bCs/>
        </w:rPr>
        <w:t xml:space="preserve">Annual_Total_Spend</w:t>
      </w:r>
      <w:r>
        <w:t xml:space="preserve"> (mediana $6,655–6,751, outliers desde ~$32,600–32,800) son iguales en todas las categorías.</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47. Boxplots por subcategory (Micro)</w:t>
      </w:r>
    </w:p>
    <w:p>
      <w:pPr>
        <w:spacing w:after="120"/>
      </w:pPr>
      <w:r>
        <w:rPr>
          <w:b/>
          <w:bCs/>
        </w:rPr>
        <w:t xml:space="preserve">Interpretación:</w:t>
      </w:r>
      <w:r>
        <w:t xml:space="preserve"> </w:t>
      </w:r>
      <w:r>
        <w:rPr>
          <w:b/>
          <w:bCs/>
        </w:rPr>
        <w:t xml:space="preserve">units_sold:</w:t>
      </w:r>
      <w:r>
        <w:t xml:space="preserve"> Sneakers y Boots nunca superan 2 piezas por transacción (tampoco Bags, y Jewelry no pasa de 3, ambas dentro de "Otras"); el resto llega hasta 6 piezas. </w:t>
      </w:r>
      <w:r>
        <w:rPr>
          <w:b/>
          <w:bCs/>
        </w:rPr>
        <w:t xml:space="preserve">sales_amount:</w:t>
      </w:r>
      <w:r>
        <w:t xml:space="preserve"> cambia por el precio: mediana de $59.83 (Shirts) a $209.54 (Boots); outliers a partir de $177.15 (Tops) hasta $460.65 (Outerwear). </w:t>
      </w:r>
      <w:r>
        <w:rPr>
          <w:b/>
          <w:bCs/>
        </w:rPr>
        <w:t xml:space="preserve">Annual_Purchase_Frequency</w:t>
      </w:r>
      <w:r>
        <w:t xml:space="preserve"> y </w:t>
      </w:r>
      <w:r>
        <w:rPr>
          <w:b/>
          <w:bCs/>
        </w:rPr>
        <w:t xml:space="preserve">Annual_Total_Spend</w:t>
      </w:r>
      <w:r>
        <w:t xml:space="preserve"> son prácticamente iguales en todas (mediana 5 compras y $6,614–6,777).</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48. Boxplots por region (Micro)</w:t>
      </w:r>
    </w:p>
    <w:p>
      <w:pPr>
        <w:spacing w:after="120"/>
      </w:pPr>
      <w:r>
        <w:rPr>
          <w:b/>
          <w:bCs/>
        </w:rPr>
        <w:t xml:space="preserve">Interpretación:</w:t>
      </w:r>
      <w:r>
        <w:t xml:space="preserve"> units_sold (mediana 2, outliers desde 4 piezas), Annual_Purchase_Frequency (mediana 5, outliers desde 16) y sales_amount (mediana ~$108–110, outliers desde ~$332–335) son iguales en todas las regiones. Solo cambia ligeramente el gasto anual: Ciudad de México ($7,155.00) y Monterrey ($6,953.96) contra Sur ($5,960.64) y Bajío ($5,967.45); outliers a partir de $28,791.10 (Noroeste) a $34,912.93 (Ciudad de México).</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49. Boxplots por Client_Category (Micro)</w:t>
      </w:r>
    </w:p>
    <w:p>
      <w:pPr>
        <w:spacing w:after="120"/>
      </w:pPr>
      <w:r>
        <w:rPr>
          <w:b/>
          <w:bCs/>
        </w:rPr>
        <w:t xml:space="preserve">Interpretación:</w:t>
      </w:r>
      <w:r>
        <w:t xml:space="preserve"> gran diferencia en el valor del cliente. La frecuencia anual mediana es 4 en Básico, 7 en Silver, 12 en Gold y 11 en Premium, y el gasto anual mediano es $2,938.50, $13,040.24, $38,239.08 y $57,971.16. El ticket por transacción casi no cambia ($105.28–119.72) y units_sold es igual (outliers desde 4 piezas). </w:t>
      </w:r>
      <w:r>
        <w:rPr>
          <w:b/>
          <w:bCs/>
        </w:rPr>
        <w:t xml:space="preserve">Outliers:</w:t>
      </w:r>
      <w:r>
        <w:t xml:space="preserve"> frecuencia a partir de 10 compras en Básico y 22 en Premium; gasto anual a partir de $11,879.88 (Básico) y $106,021.25 (Premium); monto a partir de $321.45 (Básico) a $357.50 (Gold). </w:t>
      </w:r>
      <w:r>
        <w:rPr>
          <w:b/>
          <w:bCs/>
        </w:rPr>
        <w:t xml:space="preserve">Conclusión:</w:t>
      </w:r>
      <w:r>
        <w:t xml:space="preserve"> el programa de lealtad sí separa a los clientes de mayor valor.</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50. Boxplots por Preferred_Channel (Micro)</w:t>
      </w:r>
    </w:p>
    <w:p>
      <w:pPr>
        <w:spacing w:after="120"/>
      </w:pPr>
      <w:r>
        <w:rPr>
          <w:b/>
          <w:bCs/>
        </w:rPr>
        <w:t xml:space="preserve">Interpretación:</w:t>
      </w:r>
      <w:r>
        <w:t xml:space="preserve"> sin diferencias relevantes entre App, Online y Tienda física: mediana de 2 piezas, 5 compras al año, ~$110 por transacción y $6,604–6,810 de gasto anual. Los límites de outliers también son casi iguales: 4 piezas, 16 compras, ~$334 de monto y $32,034.15–33,334.15 de gasto anual. </w:t>
      </w:r>
      <w:r>
        <w:rPr>
          <w:b/>
          <w:bCs/>
        </w:rPr>
        <w:t xml:space="preserve">Conclusión:</w:t>
      </w:r>
      <w:r>
        <w:t xml:space="preserve"> el canal no cambia el comportamiento de compra.</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51. Boxplots por Socioeconomic_Level (Micro)</w:t>
      </w:r>
    </w:p>
    <w:p>
      <w:pPr>
        <w:pStyle w:val="ListParagraph"/>
        <w:numPr>
          <w:ilvl w:val="0"/>
          <w:numId w:val="2"/>
        </w:numPr>
        <w:spacing w:after="60"/>
      </w:pPr>
      <w:r>
        <w:rPr>
          <w:b/>
          <w:bCs/>
        </w:rPr>
        <w:t xml:space="preserve">units_sold:</w:t>
      </w:r>
      <w:r>
        <w:t xml:space="preserve"> sin diferencias: en todos los niveles la caja va de 1 a 2 piezas, con outliers en 4, 5 y 6 piezas.</w:t>
      </w:r>
    </w:p>
    <w:p>
      <w:pPr>
        <w:pStyle w:val="ListParagraph"/>
        <w:numPr>
          <w:ilvl w:val="0"/>
          <w:numId w:val="2"/>
        </w:numPr>
        <w:spacing w:after="60"/>
      </w:pPr>
      <w:r>
        <w:rPr>
          <w:b/>
          <w:bCs/>
        </w:rPr>
        <w:t xml:space="preserve">Annual_Purchase_Frequency:</w:t>
      </w:r>
      <w:r>
        <w:t xml:space="preserve"> la mediana aumenta en cada nivel: 3 compras al año en Bajo, 4 en Medio-Bajo, 7 en Medio, 9 en Medio-Alto y 12 en Alto. Outliers a partir de 10 compras en Bajo, 11 en Medio-Bajo, 16 en Medio, 20 en Medio-Alto y 22 en Alto.</w:t>
      </w:r>
    </w:p>
    <w:p>
      <w:pPr>
        <w:pStyle w:val="ListParagraph"/>
        <w:numPr>
          <w:ilvl w:val="0"/>
          <w:numId w:val="2"/>
        </w:numPr>
        <w:spacing w:after="60"/>
      </w:pPr>
      <w:r>
        <w:rPr>
          <w:b/>
          <w:bCs/>
        </w:rPr>
        <w:t xml:space="preserve">sales_amount:</w:t>
      </w:r>
      <w:r>
        <w:t xml:space="preserve"> el ticket es muy similar: mediana de $103.06 (Bajo) a $119.94 (Alto); outliers a partir de $314.55 (Bajo) hasta $356.46 (Medio-Alto).</w:t>
      </w:r>
    </w:p>
    <w:p>
      <w:pPr>
        <w:pStyle w:val="ListParagraph"/>
        <w:numPr>
          <w:ilvl w:val="0"/>
          <w:numId w:val="2"/>
        </w:numPr>
        <w:spacing w:after="60"/>
      </w:pPr>
      <w:r>
        <w:rPr>
          <w:b/>
          <w:bCs/>
        </w:rPr>
        <w:t xml:space="preserve">Annual_Total_Spend (escala log):</w:t>
      </w:r>
      <w:r>
        <w:t xml:space="preserve"> fuerte gradiente: mediana de $1,769.32 en Bajo, $4,804.98 en Medio-Bajo, $12,001.62 en Medio, $21,154.40 en Medio-Alto y $41,275.52 en Alto (23 veces más que Bajo). Outliers a partir de $7,285.86 en Bajo y de $86,007.30 en Alto. </w:t>
      </w:r>
      <w:r>
        <w:rPr>
          <w:b/>
          <w:bCs/>
        </w:rPr>
        <w:t xml:space="preserve">Conclusión:</w:t>
      </w:r>
      <w:r>
        <w:t xml:space="preserve"> los clientes de nivel alto no gastan mucho más por compra, sino que compran con mayor frecuencia.</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52. Boxplots por Rango_Edad (Micro)</w:t>
      </w:r>
    </w:p>
    <w:p>
      <w:pPr>
        <w:spacing w:after="120"/>
      </w:pPr>
      <w:r>
        <w:rPr>
          <w:b/>
          <w:bCs/>
        </w:rPr>
        <w:t xml:space="preserve">Interpretación:</w:t>
      </w:r>
      <w:r>
        <w:t xml:space="preserve"> las cuatro variables tienen distribuciones prácticamente iguales: mediana de 2 piezas y 5 compras al año en todos los rangos, ticket mediano de $109.38 a $110.16 y gasto anual mediano de $6,566.55 a $6,838.72. Los límites de outliers también son casi iguales: 4 piezas, 16 compras, $333.09–335.48 de monto y $31,934.62–33,230.24 de gasto anual. </w:t>
      </w:r>
      <w:r>
        <w:rPr>
          <w:b/>
          <w:bCs/>
        </w:rPr>
        <w:t xml:space="preserve">Conclusión:</w:t>
      </w:r>
      <w:r>
        <w:t xml:space="preserve"> la edad no diferencia el comportamiento de compra.</w:t>
      </w:r>
    </w:p>
    <w:p>
      <w:pPr>
        <w:pStyle w:val="Heading2"/>
        <w:spacing w:after="100" w:before="180"/>
      </w:pPr>
      <w:r>
        <w:t xml:space="preserve">Análisis adicional: Rango de edad</w:t>
      </w:r>
    </w:p>
    <w:p>
      <w:pPr>
        <w:keepNext/>
        <w:spacing w:before="120"/>
        <w:jc w:val="center"/>
      </w:pPr>
      <w:r>
        <w:drawing>
          <wp:inline distT="0" distB="0" distL="0" distR="0">
            <wp:extent cx="4762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381250"/>
                    </a:xfrm>
                    <a:prstGeom prst="rect">
                      <a:avLst/>
                    </a:prstGeom>
                  </pic:spPr>
                </pic:pic>
              </a:graphicData>
            </a:graphic>
          </wp:inline>
        </w:drawing>
      </w:r>
    </w:p>
    <w:p>
      <w:pPr>
        <w:spacing w:after="120"/>
        <w:jc w:val="center"/>
      </w:pPr>
      <w:r>
        <w:rPr>
          <w:i/>
          <w:iCs/>
          <w:sz w:val="18"/>
          <w:szCs w:val="18"/>
        </w:rPr>
        <w:t xml:space="preserve">Figura 53. Ventas por Rango_Edad (millones de pesos)</w:t>
      </w:r>
    </w:p>
    <w:p>
      <w:pPr>
        <w:spacing w:after="120"/>
      </w:pPr>
      <w:r>
        <w:rPr>
          <w:b/>
          <w:bCs/>
        </w:rPr>
        <w:t xml:space="preserve">Interpretación:</w:t>
      </w:r>
      <w:r>
        <w:t xml:space="preserve"> 35-44 genera $72.84 M (22.99% del total), 25-34 $64.51 M (20.36%), 45-54 $58.31 M (18.40%), 65+ $42.14 M (13.30%), 18-24 $39.66 M (12.52%) y 55-64 $39.36 M (12.42%). El orden es el mismo que el número de clientes de cada rango.</w:t>
      </w:r>
    </w:p>
    <w:p>
      <w:pPr>
        <w:keepNext/>
        <w:spacing w:before="120"/>
        <w:jc w:val="center"/>
      </w:pPr>
      <w:r>
        <w:drawing>
          <wp:inline distT="0" distB="0" distL="0" distR="0">
            <wp:extent cx="4762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381250"/>
                    </a:xfrm>
                    <a:prstGeom prst="rect">
                      <a:avLst/>
                    </a:prstGeom>
                  </pic:spPr>
                </pic:pic>
              </a:graphicData>
            </a:graphic>
          </wp:inline>
        </w:drawing>
      </w:r>
    </w:p>
    <w:p>
      <w:pPr>
        <w:spacing w:after="120"/>
        <w:jc w:val="center"/>
      </w:pPr>
      <w:r>
        <w:rPr>
          <w:i/>
          <w:iCs/>
          <w:sz w:val="18"/>
          <w:szCs w:val="18"/>
        </w:rPr>
        <w:t xml:space="preserve">Figura 54. Gasto promedio por cliente según Rango_Edad</w:t>
      </w:r>
    </w:p>
    <w:p>
      <w:pPr>
        <w:spacing w:after="120"/>
      </w:pPr>
      <w:r>
        <w:rPr>
          <w:b/>
          <w:bCs/>
        </w:rPr>
        <w:t xml:space="preserve">Interpretación:</w:t>
      </w:r>
      <w:r>
        <w:t xml:space="preserve"> el gasto por cliente es casi igual en todos los rangos: de $6,996.64 (35-44) a $7,156.74 (18-24). Un rango vende más porque tiene más clientes, no porque cada cliente gaste más.</w:t>
      </w:r>
    </w:p>
    <w:p>
      <w:pPr>
        <w:pStyle w:val="Heading2"/>
        <w:spacing w:after="100" w:before="180"/>
      </w:pPr>
      <w:r>
        <w:t xml:space="preserve">Análisis adicional: Stock vs. Esperado vs. Vendido</w:t>
      </w:r>
    </w:p>
    <w:p>
      <w:pPr>
        <w:keepNext/>
        <w:spacing w:before="120"/>
        <w:jc w:val="center"/>
      </w:pPr>
      <w:r>
        <w:drawing>
          <wp:inline distT="0" distB="0" distL="0" distR="0">
            <wp:extent cx="5334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2219325"/>
                    </a:xfrm>
                    <a:prstGeom prst="rect">
                      <a:avLst/>
                    </a:prstGeom>
                  </pic:spPr>
                </pic:pic>
              </a:graphicData>
            </a:graphic>
          </wp:inline>
        </w:drawing>
      </w:r>
    </w:p>
    <w:p>
      <w:pPr>
        <w:spacing w:after="120"/>
        <w:jc w:val="center"/>
      </w:pPr>
      <w:r>
        <w:rPr>
          <w:i/>
          <w:iCs/>
          <w:sz w:val="18"/>
          <w:szCs w:val="18"/>
        </w:rPr>
        <w:t xml:space="preserve">Figura 55. Stock, unidades esperadas y unidades vendidas por mes (miles)</w:t>
      </w:r>
    </w:p>
    <w:p>
      <w:pPr>
        <w:pStyle w:val="ListParagraph"/>
        <w:numPr>
          <w:ilvl w:val="0"/>
          <w:numId w:val="2"/>
        </w:numPr>
        <w:spacing w:after="60"/>
      </w:pPr>
      <w:r>
        <w:t xml:space="preserve">Se venden entre 160,918 (febrero 2024) y 231,237 (diciembre 2025) unidades al mes, contra una demanda esperada de 1.07 a 1.16 millones: el cumplimiento mensual va de 14.15% a 21.28% (17.49% en promedio en 2024 y 16.49% en 2025).</w:t>
      </w:r>
    </w:p>
    <w:p>
      <w:pPr>
        <w:pStyle w:val="ListParagraph"/>
        <w:numPr>
          <w:ilvl w:val="0"/>
          <w:numId w:val="2"/>
        </w:numPr>
        <w:spacing w:after="60"/>
      </w:pPr>
      <w:r>
        <w:t xml:space="preserve">El stock es mayor que la demanda esperada en todos los meses, entre 110.05% y 112.28% de lo esperado.</w:t>
      </w:r>
    </w:p>
    <w:p>
      <w:pPr>
        <w:pStyle w:val="ListParagraph"/>
        <w:numPr>
          <w:ilvl w:val="0"/>
          <w:numId w:val="2"/>
        </w:numPr>
        <w:spacing w:after="60"/>
      </w:pPr>
      <w:r>
        <w:t xml:space="preserve">De 2024 a 2025 la demanda esperada mensual promedio subió 6.35% (de 1,078,219 a 1,146,720 unidades) y el stock 6.26%, pero las ventas solo 0.29% (de 188,592 a 189,143).</w:t>
      </w:r>
    </w:p>
    <w:p>
      <w:pPr>
        <w:keepNext/>
        <w:spacing w:before="12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2000250"/>
                    </a:xfrm>
                    <a:prstGeom prst="rect">
                      <a:avLst/>
                    </a:prstGeom>
                  </pic:spPr>
                </pic:pic>
              </a:graphicData>
            </a:graphic>
          </wp:inline>
        </w:drawing>
      </w:r>
    </w:p>
    <w:p>
      <w:pPr>
        <w:spacing w:after="120"/>
        <w:jc w:val="center"/>
      </w:pPr>
      <w:r>
        <w:rPr>
          <w:i/>
          <w:iCs/>
          <w:sz w:val="18"/>
          <w:szCs w:val="18"/>
        </w:rPr>
        <w:t xml:space="preserve">Figura 56. Unidades vendidas por mes (miles)</w:t>
      </w:r>
    </w:p>
    <w:p>
      <w:pPr>
        <w:spacing w:after="120"/>
      </w:pPr>
      <w:r>
        <w:rPr>
          <w:b/>
          <w:bCs/>
        </w:rPr>
        <w:t xml:space="preserve">Interpretación:</w:t>
      </w:r>
      <w:r>
        <w:t xml:space="preserve"> las ventas tienen estacionalidad: picos en noviembre y diciembre (~230 mil unidades, 20–21% de cumplimiento) y mínimo en febrero (~161 mil), y el patrón se repite en 2024 y 2025. La demanda esperada, en cambio, se mantiene casi plana todo el año.</w:t>
      </w:r>
    </w:p>
    <w:p>
      <w:pPr>
        <w:pStyle w:val="Heading1"/>
        <w:spacing w:after="120" w:before="240"/>
      </w:pPr>
      <w:r>
        <w:t xml:space="preserve">VI. Medidas descriptivas por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00"/>
        <w:gridCol w:w="1400"/>
        <w:gridCol w:w="1200"/>
        <w:gridCol w:w="1300"/>
        <w:gridCol w:w="1300"/>
      </w:tblGrid>
      <w:tr>
        <w:trPr>
          <w:tblHeader/>
        </w:trPr>
        <w:tc>
          <w:tcPr>
            <w:tcW w:type="dxa" w:w="2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 cuantitativa</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w:t>
            </w:r>
          </w:p>
        </w:tc>
        <w:tc>
          <w:tcPr>
            <w:tcW w:type="dxa" w:w="1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Desv. Estándar</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Q1</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Mediana/Q2</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Q3</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0.89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3.48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132.20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88.84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109.66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173.80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10,871.76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12,195.31</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2,654.40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6,718.08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14,675.08</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207.55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175.59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14,506.75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15,594.18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4,646.08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9,011.64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18,507.54</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9.64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21.25</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289.35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152.04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165.30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266.59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383.27</w:t>
            </w:r>
          </w:p>
        </w:tc>
      </w:tr>
    </w:tbl>
    <w:p>
      <w:pPr>
        <w:pStyle w:val="Heading2"/>
        <w:spacing w:after="100" w:before="180"/>
      </w:pPr>
      <w:r>
        <w:t xml:space="preserve">Resumen y conclusiones</w:t>
      </w:r>
    </w:p>
    <w:p>
      <w:pPr>
        <w:pStyle w:val="ListParagraph"/>
        <w:numPr>
          <w:ilvl w:val="0"/>
          <w:numId w:val="2"/>
        </w:numPr>
        <w:spacing w:after="60"/>
      </w:pPr>
      <w:r>
        <w:t xml:space="preserve">En todas las variables, excepto units_sold del nivel micro, la media es mayor que la mediana, lo que confirma el sesgo a la derecha.</w:t>
      </w:r>
    </w:p>
    <w:p>
      <w:pPr>
        <w:pStyle w:val="ListParagraph"/>
        <w:numPr>
          <w:ilvl w:val="0"/>
          <w:numId w:val="2"/>
        </w:numPr>
        <w:spacing w:after="60"/>
      </w:pPr>
      <w:r>
        <w:t xml:space="preserve">Annual_Total_Spend tiene una desviación estándar mayor que su media: el gasto de los clientes es muy desigual.</w:t>
      </w:r>
    </w:p>
    <w:p>
      <w:pPr>
        <w:pStyle w:val="ListParagraph"/>
        <w:numPr>
          <w:ilvl w:val="0"/>
          <w:numId w:val="2"/>
        </w:numPr>
        <w:spacing w:after="60"/>
      </w:pPr>
      <w:r>
        <w:t xml:space="preserve">El cumplimiento mediano es de 12.01%: la mitad de los registros mensuales vende menos del 12% de lo esperado.</w:t>
      </w:r>
    </w:p>
    <w:p>
      <w:pPr>
        <w:pStyle w:val="ListParagraph"/>
        <w:numPr>
          <w:ilvl w:val="0"/>
          <w:numId w:val="2"/>
        </w:numPr>
        <w:spacing w:after="60"/>
      </w:pPr>
      <w:r>
        <w:t xml:space="preserve">La cobertura mediana de 266.59 días indica sobrestock generalizado.</w:t>
      </w:r>
    </w:p>
    <w:p>
      <w:pPr>
        <w:spacing w:after="120"/>
      </w:pPr>
      <w:r>
        <w:t xml:space="preserve">Realizó: </w:t>
      </w:r>
      <w:r>
        <w:rPr>
          <w:b/>
          <w:bCs/>
          <w:highlight w:val="yellow"/>
          <w:highlightCs w:val="yellow"/>
        </w:rPr>
        <w:t xml:space="preserve">[nombre de quien hizo este punto]</w:t>
      </w:r>
    </w:p>
    <w:p>
      <w:pPr>
        <w:pStyle w:val="Heading1"/>
        <w:spacing w:after="120" w:before="240"/>
      </w:pPr>
      <w:r>
        <w:t xml:space="preserve">VII. Resumen de resultados de histogramas y boxplots</w:t>
      </w:r>
    </w:p>
    <w:p>
      <w:pPr>
        <w:pStyle w:val="ListParagraph"/>
        <w:numPr>
          <w:ilvl w:val="0"/>
          <w:numId w:val="2"/>
        </w:numPr>
        <w:spacing w:after="60"/>
      </w:pPr>
      <w:r>
        <w:t xml:space="preserve">Ninguna variable continua es normal: todas presentan sesgo a la derecha, y los valores fuera de ±3.5σ son menos del 1.5% de los datos.</w:t>
      </w:r>
    </w:p>
    <w:p>
      <w:pPr>
        <w:pStyle w:val="ListParagraph"/>
        <w:numPr>
          <w:ilvl w:val="0"/>
          <w:numId w:val="2"/>
        </w:numPr>
        <w:spacing w:after="60"/>
      </w:pPr>
      <w:r>
        <w:t xml:space="preserve">La canasta típica es de 1–2 piezas (80.99% de las transacciones) y el ticket mediano es de $109.66.</w:t>
      </w:r>
    </w:p>
    <w:p>
      <w:pPr>
        <w:pStyle w:val="ListParagraph"/>
        <w:numPr>
          <w:ilvl w:val="0"/>
          <w:numId w:val="2"/>
        </w:numPr>
        <w:spacing w:after="60"/>
      </w:pPr>
      <w:r>
        <w:t xml:space="preserve">DanuStore solo vende en promedio el 15.69% de las unidades esperadas por producto-región-mes (16–17% al sumar todo el mes) y su inventario cubre en promedio 289 días: existe una sobreestimación sistemática de la demanda.</w:t>
      </w:r>
    </w:p>
    <w:p>
      <w:pPr>
        <w:pStyle w:val="ListParagraph"/>
        <w:numPr>
          <w:ilvl w:val="0"/>
          <w:numId w:val="2"/>
        </w:numPr>
        <w:spacing w:after="60"/>
      </w:pPr>
      <w:r>
        <w:t xml:space="preserve">Ciudad de México, Monterrey y Guadalajara concentran el 73.64% de las transacciones y tienen el mejor cumplimiento mediano (33.29%, 22.44% y 17.41%); Sureste tiene una mediana de solo 6.58% y su inventario cubre 472 días.</w:t>
      </w:r>
    </w:p>
    <w:p>
      <w:pPr>
        <w:pStyle w:val="ListParagraph"/>
        <w:numPr>
          <w:ilvl w:val="0"/>
          <w:numId w:val="2"/>
        </w:numPr>
        <w:spacing w:after="60"/>
      </w:pPr>
      <w:r>
        <w:t xml:space="preserve">El 92.36% de las transacciones son de clientes Básico y Silver; el programa de lealtad tiene poca penetración en Gold y Premium.</w:t>
      </w:r>
    </w:p>
    <w:p>
      <w:pPr>
        <w:pStyle w:val="ListParagraph"/>
        <w:numPr>
          <w:ilvl w:val="0"/>
          <w:numId w:val="2"/>
        </w:numPr>
        <w:spacing w:after="60"/>
      </w:pPr>
      <w:r>
        <w:t xml:space="preserve">El nivel socioeconómico es el principal diferenciador del valor del cliente: el gasto anual mediano sube de $1,769.32 (Bajo) a $41,275.52 (Alto) por mayor frecuencia de compra (3 vs. 12 compras al año), no por un ticket más alto.</w:t>
      </w:r>
    </w:p>
    <w:p>
      <w:pPr>
        <w:pStyle w:val="ListParagraph"/>
        <w:numPr>
          <w:ilvl w:val="0"/>
          <w:numId w:val="2"/>
        </w:numPr>
        <w:spacing w:after="60"/>
      </w:pPr>
      <w:r>
        <w:t xml:space="preserve">El 61.95% de los clientes tiene entre 25 y 54 años; el rango 35-44 es el que más vende (22.99%), pero la edad no cambia el comportamiento: todos los rangos gastan ~$7,000 por cliente.</w:t>
      </w:r>
    </w:p>
    <w:p>
      <w:pPr>
        <w:pStyle w:val="ListParagraph"/>
        <w:numPr>
          <w:ilvl w:val="0"/>
          <w:numId w:val="2"/>
        </w:numPr>
        <w:spacing w:after="60"/>
      </w:pPr>
      <w:r>
        <w:t xml:space="preserve">El programa de lealtad sí distingue a los clientes de mayor valor: el gasto anual mediano va de $2,938.50 (Básico) a $57,971.16 (Premium).</w:t>
      </w:r>
    </w:p>
    <w:p>
      <w:pPr>
        <w:pStyle w:val="ListParagraph"/>
        <w:numPr>
          <w:ilvl w:val="0"/>
          <w:numId w:val="2"/>
        </w:numPr>
        <w:spacing w:after="60"/>
      </w:pPr>
      <w:r>
        <w:t xml:space="preserve">En 2025 la proyección y el stock subieron ~6.3% mientras las ventas solo 0.29%; se recomienda proyectar con ventas históricas e incorporar la estacionalidad.</w:t>
      </w:r>
    </w:p>
    <w:p>
      <w:pPr>
        <w:pStyle w:val="Heading1"/>
        <w:spacing w:after="120" w:before="240"/>
      </w:pPr>
      <w:r>
        <w:t xml:space="preserve">VIII. Contribución individual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6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Variables / secciones (código y documento)</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Jaime Hernández González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Creación y análisis de Rango_Edad (código, gráficas, interpretación); análisis Stock vs. Esperado vs. Vendido; actualización de la sección I; cruce de Rango_Edad en la sección 5.2; redacción de estas secciones.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André Alberto Navarro de la Parra</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Felix Samuel Vargas Mar</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Aldahir Zarazúa Núñez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Javier Alejandro Padilla Matus</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bl>
    <w:p>
      <w:pPr>
        <w:pStyle w:val="Heading1"/>
        <w:spacing w:after="120" w:before="240"/>
      </w:pPr>
      <w:r>
        <w:t xml:space="preserve">IX. Anexos</w:t>
      </w:r>
    </w:p>
    <w:p>
      <w:pPr>
        <w:pStyle w:val="ListParagraph"/>
        <w:numPr>
          <w:ilvl w:val="0"/>
          <w:numId w:val="2"/>
        </w:numPr>
        <w:spacing w:after="60"/>
      </w:pPr>
      <w:r>
        <w:t xml:space="preserve">Notebook Colab (.ipynb): </w:t>
      </w:r>
      <w:r>
        <w:rPr>
          <w:b/>
          <w:bCs/>
          <w:highlight w:val="yellow"/>
          <w:highlightCs w:val="yellow"/>
        </w:rPr>
        <w:t xml:space="preserve">[liga]</w:t>
      </w:r>
      <w:r>
        <w:t xml:space="preserve"> – TI3002C_Etapa 4.2_Equipo 6.ipynb</w:t>
      </w:r>
    </w:p>
    <w:p>
      <w:pPr>
        <w:pStyle w:val="ListParagraph"/>
        <w:numPr>
          <w:ilvl w:val="0"/>
          <w:numId w:val="2"/>
        </w:numPr>
        <w:spacing w:after="60"/>
      </w:pPr>
      <w:r>
        <w:t xml:space="preserve">Liga del Colab: </w:t>
      </w:r>
      <w:r>
        <w:rPr>
          <w:b/>
          <w:bCs/>
          <w:highlight w:val="yellow"/>
          <w:highlightCs w:val="yellow"/>
        </w:rPr>
        <w:t xml:space="preserve">[liga]</w:t>
      </w:r>
    </w:p>
    <w:p>
      <w:pPr>
        <w:pStyle w:val="ListParagraph"/>
        <w:numPr>
          <w:ilvl w:val="0"/>
          <w:numId w:val="2"/>
        </w:numPr>
        <w:spacing w:after="60"/>
      </w:pPr>
      <w:r>
        <w:t xml:space="preserve">PDF del notebook: </w:t>
      </w:r>
      <w:r>
        <w:rPr>
          <w:b/>
          <w:bCs/>
          <w:highlight w:val="yellow"/>
          <w:highlightCs w:val="yellow"/>
        </w:rPr>
        <w:t xml:space="preserve">[nombre del PDF]</w:t>
      </w:r>
    </w:p>
    <w:p>
      <w:pPr>
        <w:pStyle w:val="ListParagraph"/>
        <w:numPr>
          <w:ilvl w:val="0"/>
          <w:numId w:val="2"/>
        </w:numPr>
        <w:spacing w:after="60"/>
      </w:pPr>
      <w:r>
        <w:t xml:space="preserve">Carpeta de Google Drive con la base de datos: </w:t>
      </w:r>
      <w:r>
        <w:rPr>
          <w:b/>
          <w:bCs/>
          <w:highlight w:val="yellow"/>
          <w:highlightCs w:val="yellow"/>
        </w:rPr>
        <w:t xml:space="preserve">[liga]</w:t>
      </w:r>
    </w:p>
    <w:p>
      <w:pPr>
        <w:pStyle w:val="ListParagraph"/>
        <w:numPr>
          <w:ilvl w:val="0"/>
          <w:numId w:val="2"/>
        </w:numPr>
        <w:spacing w:after="60"/>
      </w:pPr>
      <w:r>
        <w:t xml:space="preserve">Diccionario de Datos: Diccionario de Datos DanuStore - Equipo 6.xlsx</w:t>
      </w:r>
    </w:p>
    <w:p>
      <w:pPr>
        <w:pStyle w:val="Heading1"/>
        <w:spacing w:after="120" w:before="240"/>
      </w:pPr>
      <w:r>
        <w:t xml:space="preserve">X. Referencias</w:t>
      </w:r>
    </w:p>
    <w:p>
      <w:pPr>
        <w:spacing w:after="100"/>
        <w:ind w:left="720" w:hanging="720"/>
      </w:pPr>
      <w:r>
        <w:t xml:space="preserve">Danu Analítica - Business Intelligence &amp; Machine Learning. (s. f.). https://www.danuanalitica.com/#nosotros</w:t>
      </w:r>
    </w:p>
    <w:p>
      <w:pPr>
        <w:spacing w:after="100"/>
        <w:ind w:left="720" w:hanging="720"/>
      </w:pPr>
      <w:r>
        <w:t xml:space="preserve">Danu Analítica. (2026, 14 agosto). Danu analitica | LinkedIn. https://www.linkedin.com/company/danuanalitica/</w:t>
      </w:r>
    </w:p>
    <w:p>
      <w:pPr>
        <w:spacing w:after="100"/>
        <w:ind w:left="720" w:hanging="720"/>
      </w:pPr>
      <w:r>
        <w:t xml:space="preserve">Danu Analítica. (s. f.). Tec Semestre 2026. (Presentación de Socioformador)</w:t>
      </w:r>
    </w:p>
    <w:p>
      <w:pPr>
        <w:spacing w:after="100"/>
        <w:ind w:left="720" w:hanging="720"/>
      </w:pPr>
      <w:r>
        <w:t xml:space="preserve">Danu Consulting. (2026). Misión de Danu Consulting. Facebook. https://www.facebook.com/photo?fbid=1013618514881173&amp;set=pcb.1013618551547836</w:t>
      </w:r>
    </w:p>
    <w:p>
      <w:pPr>
        <w:spacing w:after="100"/>
        <w:ind w:left="720" w:hanging="720"/>
      </w:pPr>
      <w:r>
        <w:t xml:space="preserve">Google Gemini. (2026). Gemini [Modelo 3.7 Flash]. https://gemini.google.com</w:t>
      </w:r>
    </w:p>
    <w:p>
      <w:pPr>
        <w:spacing w:after="100"/>
        <w:ind w:left="720" w:hanging="720"/>
      </w:pPr>
      <w:r>
        <w:t xml:space="preserve">Lucidchart. (s. f.). https://lucid.app/</w:t>
      </w:r>
    </w:p>
    <w:p>
      <w:pPr>
        <w:spacing w:after="100"/>
        <w:ind w:left="720" w:hanging="720"/>
      </w:pPr>
      <w:r>
        <w:t xml:space="preserve">Microsoft. (2023). Power BI [Software]. Microsoft Corporation. https://powerbi.microsoft.com/</w:t>
      </w:r>
    </w:p>
    <w:p>
      <w:pPr>
        <w:spacing w:after="100"/>
        <w:ind w:left="720" w:hanging="720"/>
      </w:pPr>
      <w:r>
        <w:t xml:space="preserve">Mondragon, H. (2025, 27 octubre). Danu Analítica: el poder de los datos al servicio de las empresas mexicanas. PRO Network. https://www.pronetwork.mx/danu-analitica-el-poder-de-los-datos-al-servicio-de-las-empresas-mexicanas/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4E79"/>
      <w:sz w:val="30"/>
      <w:szCs w:val="30"/>
    </w:rPr>
  </w:style>
  <w:style w:type="paragraph" w:styleId="Heading2">
    <w:name w:val="Heading 2"/>
    <w:basedOn w:val="Normal"/>
    <w:next w:val="Normal"/>
    <w:qFormat/>
    <w:pPr>
      <w:outlineLvl w:val="1"/>
    </w:pPr>
    <w:rPr>
      <w:b/>
      <w:bCs/>
      <w:color w:val="2E75B6"/>
      <w:sz w:val="25"/>
      <w:szCs w:val="25"/>
    </w:rPr>
  </w:style>
  <w:style w:type="paragraph" w:styleId="Heading3">
    <w:name w:val="Heading 3"/>
    <w:basedOn w:val="Normal"/>
    <w:next w:val="Normal"/>
    <w:qFormat/>
    <w:pPr>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674b986737767665e08664df0d19a0164dec2d.png"/><Relationship Id="rId8" Type="http://schemas.openxmlformats.org/officeDocument/2006/relationships/image" Target="media/d6abfbd2b0ade9ca71db87a69db1a83a73db1a85.png"/><Relationship Id="rId9" Type="http://schemas.openxmlformats.org/officeDocument/2006/relationships/image" Target="media/522f63bec903b716def846f698b02cff6adfc9b4.png"/><Relationship Id="rId10" Type="http://schemas.openxmlformats.org/officeDocument/2006/relationships/image" Target="media/903d076c04fc111ac2bf5009e7d9f650d5b95ac2.png"/><Relationship Id="rId11" Type="http://schemas.openxmlformats.org/officeDocument/2006/relationships/image" Target="media/e17971c3e9631f9dc57cb7dfa46e12481667642a.png"/><Relationship Id="rId12" Type="http://schemas.openxmlformats.org/officeDocument/2006/relationships/image" Target="media/eef4cfbbccbe017ab9043b77e866b8fdae03ebe2.png"/><Relationship Id="rId13" Type="http://schemas.openxmlformats.org/officeDocument/2006/relationships/image" Target="media/00ab7e9f447ae6777f3d47a3f09aba5d082d8bb7.png"/><Relationship Id="rId14" Type="http://schemas.openxmlformats.org/officeDocument/2006/relationships/image" Target="media/2efe93d863a5faeefe70079da19f3cb967e55c8e.png"/><Relationship Id="rId15" Type="http://schemas.openxmlformats.org/officeDocument/2006/relationships/image" Target="media/7953e601ed6ad5378a1d403c9c55397c4797d7ac.png"/><Relationship Id="rId16" Type="http://schemas.openxmlformats.org/officeDocument/2006/relationships/image" Target="media/952e711739de9df1ee7de3dd31fd050778b22589.png"/><Relationship Id="rId17" Type="http://schemas.openxmlformats.org/officeDocument/2006/relationships/image" Target="media/500229db2690fd2b425505f533871857796ea5e8.png"/><Relationship Id="rId18" Type="http://schemas.openxmlformats.org/officeDocument/2006/relationships/image" Target="media/4510490e726b6f7ebc41845605d9c551c177cf8e.png"/><Relationship Id="rId19" Type="http://schemas.openxmlformats.org/officeDocument/2006/relationships/image" Target="media/0a4d036d99132c51bed5ada19c2c06c21d295a63.png"/><Relationship Id="rId20" Type="http://schemas.openxmlformats.org/officeDocument/2006/relationships/image" Target="media/6e19962c85a6ddd85b8e07c978ab3731456d5ba7.png"/><Relationship Id="rId21" Type="http://schemas.openxmlformats.org/officeDocument/2006/relationships/image" Target="media/c43b18a6aca9af90d7a55981d8f84145a71d34a1.png"/><Relationship Id="rId22" Type="http://schemas.openxmlformats.org/officeDocument/2006/relationships/image" Target="media/1252ace785c2b9dbe3e2a245f71b30116830caee.png"/><Relationship Id="rId23" Type="http://schemas.openxmlformats.org/officeDocument/2006/relationships/image" Target="media/b5d0f83ca5030b36078fad47e5dd10c002fe49aa.png"/><Relationship Id="rId24" Type="http://schemas.openxmlformats.org/officeDocument/2006/relationships/image" Target="media/b9fea0ad22bc3f03ff8d96b08eaf845149e471ac.png"/><Relationship Id="rId25" Type="http://schemas.openxmlformats.org/officeDocument/2006/relationships/image" Target="media/033839be5733561a994c4a90b96f1dc259f6d33d.png"/><Relationship Id="rId26" Type="http://schemas.openxmlformats.org/officeDocument/2006/relationships/image" Target="media/e1271938dd7cb721895b4f960cf8eac2f3ff0d4f.png"/><Relationship Id="rId27" Type="http://schemas.openxmlformats.org/officeDocument/2006/relationships/image" Target="media/2d1c4f3aec8c9f9039f1ec51b370ad92c2b50722.png"/><Relationship Id="rId28" Type="http://schemas.openxmlformats.org/officeDocument/2006/relationships/image" Target="media/45b79cb2f52582277a472790207efbf26462968a.png"/><Relationship Id="rId29" Type="http://schemas.openxmlformats.org/officeDocument/2006/relationships/image" Target="media/948c454267981ed39813dee7a94c7f21281c2120.png"/><Relationship Id="rId30" Type="http://schemas.openxmlformats.org/officeDocument/2006/relationships/image" Target="media/8f22ebaf6edd58b537c8cac48fd0ec8bf9fec501.png"/><Relationship Id="rId31" Type="http://schemas.openxmlformats.org/officeDocument/2006/relationships/image" Target="media/4477366ba4064f6c1b3e11e1f5a21123e4d4892a.png"/><Relationship Id="rId32" Type="http://schemas.openxmlformats.org/officeDocument/2006/relationships/image" Target="media/5c975a60b0926e51e2607401ed7d17ecff8ed260.png"/><Relationship Id="rId33" Type="http://schemas.openxmlformats.org/officeDocument/2006/relationships/image" Target="media/ec4bf2d8d8292be72b4a7fceea6151159154ea5e.png"/><Relationship Id="rId34" Type="http://schemas.openxmlformats.org/officeDocument/2006/relationships/image" Target="media/ba3a8b1e8de987a0294d8bac5d1a267e0832483f.png"/><Relationship Id="rId35" Type="http://schemas.openxmlformats.org/officeDocument/2006/relationships/image" Target="media/b101b976f6aab8c8acb658c27375de2813faa30c.png"/><Relationship Id="rId36" Type="http://schemas.openxmlformats.org/officeDocument/2006/relationships/image" Target="media/2cc97073045fa654e94e58a8e360f10e8d51ac03.png"/><Relationship Id="rId37" Type="http://schemas.openxmlformats.org/officeDocument/2006/relationships/image" Target="media/2860695c48b6fd1b17a557898ae8c43d52d300cd.png"/><Relationship Id="rId38" Type="http://schemas.openxmlformats.org/officeDocument/2006/relationships/image" Target="media/cd5340fc6fcea1c95ad29b10ef99f240aa34fb2e.png"/><Relationship Id="rId39" Type="http://schemas.openxmlformats.org/officeDocument/2006/relationships/image" Target="media/6473857dddc0f69ff4be6444541d31468cb171bf.png"/><Relationship Id="rId40" Type="http://schemas.openxmlformats.org/officeDocument/2006/relationships/image" Target="media/ab07d001f3ad92fa5e55d5c82dacd291b31c7b3c.png"/><Relationship Id="rId41" Type="http://schemas.openxmlformats.org/officeDocument/2006/relationships/image" Target="media/2c9f0333ab08178b90abb7cd90851e08fb01d54a.png"/><Relationship Id="rId42" Type="http://schemas.openxmlformats.org/officeDocument/2006/relationships/image" Target="media/3556ebb92377c24972ac652cf1e00715074660bb.png"/><Relationship Id="rId43" Type="http://schemas.openxmlformats.org/officeDocument/2006/relationships/image" Target="media/040ead65bcf8552b1f335fafa4b15ff467f8957d.png"/><Relationship Id="rId44" Type="http://schemas.openxmlformats.org/officeDocument/2006/relationships/image" Target="media/0bf64ec1a96ccb13bdd20b40f02ba089d046674e.png"/><Relationship Id="rId45" Type="http://schemas.openxmlformats.org/officeDocument/2006/relationships/image" Target="media/40411212c5c159df0a6ff57eebd2e774caaa09d8.png"/><Relationship Id="rId46" Type="http://schemas.openxmlformats.org/officeDocument/2006/relationships/image" Target="media/c36795c6c0a4f129be49558e327c0640f0b58578.png"/><Relationship Id="rId47" Type="http://schemas.openxmlformats.org/officeDocument/2006/relationships/image" Target="media/39d00c8a698600d72c261775741c4816b6ac6c00.png"/><Relationship Id="rId48" Type="http://schemas.openxmlformats.org/officeDocument/2006/relationships/image" Target="media/c4cb4e430db59c218540495c49753e3af36cea59.png"/><Relationship Id="rId49" Type="http://schemas.openxmlformats.org/officeDocument/2006/relationships/image" Target="media/6b28a88d16ca8fa40624752178e14166498d007a.png"/><Relationship Id="rId50" Type="http://schemas.openxmlformats.org/officeDocument/2006/relationships/image" Target="media/4b373cd6cfe1af5a05a59fb6ef0d9826e0a4dd7a.png"/><Relationship Id="rId51" Type="http://schemas.openxmlformats.org/officeDocument/2006/relationships/image" Target="media/0da9fdfe84e565b8d77cd50582508c3b22da4746.png"/><Relationship Id="rId52" Type="http://schemas.openxmlformats.org/officeDocument/2006/relationships/image" Target="media/3dd6007dd318b866f3957198c832ee38d8d408af.png"/><Relationship Id="rId53" Type="http://schemas.openxmlformats.org/officeDocument/2006/relationships/image" Target="media/00aac8eb4781aed7fd6be175f7f881fa44ff9867.png"/><Relationship Id="rId54" Type="http://schemas.openxmlformats.org/officeDocument/2006/relationships/image" Target="media/a28a41d7dd8ebea6486868b145eba4a9a7c4b65e.png"/><Relationship Id="rId55" Type="http://schemas.openxmlformats.org/officeDocument/2006/relationships/image" Target="media/3ec8c8271c1f91549aaa956b076b3e00e3fc11f7.png"/><Relationship Id="rId56" Type="http://schemas.openxmlformats.org/officeDocument/2006/relationships/image" Target="media/c4c7ca30f07776a8adbf62d975b4d203ed9154b0.png"/><Relationship Id="rId57" Type="http://schemas.openxmlformats.org/officeDocument/2006/relationships/image" Target="media/f2162e7d4c974b4526637657141e403bd7907ea7.png"/><Relationship Id="rId58" Type="http://schemas.openxmlformats.org/officeDocument/2006/relationships/image" Target="media/d3aebc62e82e548b7e2e3433f9addc0ab00fba52.png"/><Relationship Id="rId59" Type="http://schemas.openxmlformats.org/officeDocument/2006/relationships/image" Target="media/6488fed261f792a30d958c7eab8c2c183caada5e.png"/><Relationship Id="rId60" Type="http://schemas.openxmlformats.org/officeDocument/2006/relationships/image" Target="media/edc89a2d889330d20f0516f45a98b91f849726de.png"/><Relationship Id="rId61" Type="http://schemas.openxmlformats.org/officeDocument/2006/relationships/image" Target="media/847514828d5d0df6226ba21a852cfc3d599bae37.png"/><Relationship Id="rId62" Type="http://schemas.openxmlformats.org/officeDocument/2006/relationships/image" Target="media/d039efd8e72afdd07a52082c87d4c14de5ea367e.png"/><Relationship Id="rId63" Type="http://schemas.openxmlformats.org/officeDocument/2006/relationships/image" Target="media/f6d0ece07a73c88e2ea1a5b5036ac1152f0b7ee8.png"/><Relationship Id="rId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2026-10-05T21:34:26.717Z</dcterms:created>
  <dcterms:modified xsi:type="dcterms:W3CDTF">2026-10-05T21:34:26.717Z</dcterms:modified>
</cp:coreProperties>
</file>

<file path=docProps/custom.xml><?xml version="1.0" encoding="utf-8"?>
<Properties xmlns="http://schemas.openxmlformats.org/officeDocument/2006/custom-properties" xmlns:vt="http://schemas.openxmlformats.org/officeDocument/2006/docPropsVTypes"/>
</file>