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sz w:val="56"/>
          <w:szCs w:val="56"/>
        </w:rPr>
        <w:t xml:space="preserve">Etapa 4.3_Correlaciones</w:t>
      </w:r>
    </w:p>
    <w:p>
      <w:pPr>
        <w:spacing w:after="240"/>
        <w:jc w:val="center"/>
      </w:pPr>
      <w:r>
        <w:rPr>
          <w:sz w:val="26"/>
          <w:szCs w:val="26"/>
        </w:rPr>
        <w:t xml:space="preserve">TI3002C – Correlación, ANOVA y Chi-cuadrado (Avance Evidencia 2)</w:t>
      </w:r>
    </w:p>
    <w:p>
      <w:pPr>
        <w:jc w:val="center"/>
      </w:pPr>
      <w:r>
        <w:rPr>
          <w:b/>
          <w:bCs/>
          <w:sz w:val="30"/>
          <w:szCs w:val="30"/>
        </w:rPr>
        <w:t xml:space="preserve">Equipo 6 – Nexxus Consulting</w:t>
      </w:r>
    </w:p>
    <w:p>
      <w:pPr>
        <w:spacing w:after="300"/>
        <w:jc w:val="center"/>
      </w:pPr>
      <w:r>
        <w:rPr>
          <w:sz w:val="24"/>
          <w:szCs w:val="24"/>
        </w:rPr>
        <w:t xml:space="preserve">Socio formador: DanuStore / Danu Analítica</w:t>
      </w:r>
    </w:p>
    <w:p>
      <w:pPr>
        <w:jc w:val="center"/>
      </w:pPr>
      <w:r>
        <w:rPr>
          <w:sz w:val="22"/>
          <w:szCs w:val="22"/>
        </w:rPr>
        <w:t xml:space="preserve">Aldahir Zarazúa Núñez | A01571549</w:t>
      </w:r>
    </w:p>
    <w:p>
      <w:pPr>
        <w:jc w:val="center"/>
      </w:pPr>
      <w:r>
        <w:rPr>
          <w:sz w:val="22"/>
          <w:szCs w:val="22"/>
        </w:rPr>
        <w:t xml:space="preserve">Javier Alejandro Padilla Matus | A01571744</w:t>
      </w:r>
    </w:p>
    <w:p>
      <w:pPr>
        <w:jc w:val="center"/>
      </w:pPr>
      <w:r>
        <w:rPr>
          <w:sz w:val="22"/>
          <w:szCs w:val="22"/>
        </w:rPr>
        <w:t xml:space="preserve">Jaime Hernández González | A00840312</w:t>
      </w:r>
    </w:p>
    <w:p>
      <w:pPr>
        <w:jc w:val="center"/>
      </w:pPr>
      <w:r>
        <w:rPr>
          <w:sz w:val="22"/>
          <w:szCs w:val="22"/>
        </w:rPr>
        <w:t xml:space="preserve">Felix Samuel Vargas Mar | A01410658</w:t>
      </w:r>
    </w:p>
    <w:p>
      <w:pPr>
        <w:jc w:val="center"/>
      </w:pPr>
      <w:r>
        <w:rPr>
          <w:sz w:val="22"/>
          <w:szCs w:val="22"/>
        </w:rPr>
        <w:t xml:space="preserve">André Alberto Navarro de la Parra | A01278021</w:t>
      </w:r>
    </w:p>
    <w:p>
      <w:pPr>
        <w:spacing w:before="300"/>
        <w:jc w:val="center"/>
      </w:pPr>
      <w:r>
        <w:rPr>
          <w:sz w:val="22"/>
          <w:szCs w:val="22"/>
        </w:rPr>
        <w:t xml:space="preserve">Analítica de datos y herramientas de inteligencia artificial (Gpo 601)</w:t>
      </w:r>
    </w:p>
    <w:p>
      <w:pPr>
        <w:jc w:val="center"/>
      </w:pPr>
      <w:r>
        <w:rPr>
          <w:sz w:val="22"/>
          <w:szCs w:val="22"/>
        </w:rPr>
        <w:t xml:space="preserve">Instituto Tecnológico y de Estudios Superiores de Monterrey, Campus Monterrey</w:t>
      </w:r>
    </w:p>
    <w:p>
      <w:pPr>
        <w:jc w:val="center"/>
      </w:pPr>
      <w:r>
        <w:rPr>
          <w:sz w:val="22"/>
          <w:szCs w:val="22"/>
        </w:rPr>
        <w:t xml:space="preserve">11 de octubre de 2026</w:t>
      </w:r>
    </w:p>
    <w:p>
      <w:r>
        <w:br w:type="page"/>
      </w:r>
    </w:p>
    <w:p>
      <w:r>
        <w:rPr>
          <w:b/>
          <w:bCs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240"/>
      </w:pPr>
      <w:r>
        <w:t xml:space="preserve">Bases de datos y variables analizadas (</w:t>
      </w:r>
      <w:r>
        <w:rPr>
          <w:b/>
          <w:bCs/>
          <w:highlight w:val="yellow"/>
          <w:highlightCs w:val="yellow"/>
        </w:rPr>
        <w:t xml:space="preserve">Jaime</w:t>
      </w:r>
      <w:r>
        <w:t xml:space="preserve">)</w:t>
      </w:r>
    </w:p>
    <w:p>
      <w:pPr>
        <w:spacing w:after="120"/>
      </w:pPr>
      <w:r>
        <w:t xml:space="preserve">Se utilizaron las dos bases de datos finales del reto: el </w:t>
      </w:r>
      <w:r>
        <w:rPr>
          <w:b/>
          <w:bCs/>
        </w:rPr>
        <w:t xml:space="preserve">Nivel Micro (Diario)</w:t>
      </w:r>
      <w:r>
        <w:t xml:space="preserve">, con 2,396,663 movimientos de inventario y 39 variables, y el </w:t>
      </w:r>
      <w:r>
        <w:rPr>
          <w:b/>
          <w:bCs/>
        </w:rPr>
        <w:t xml:space="preserve">Nivel Macro (Mensual)</w:t>
      </w:r>
      <w:r>
        <w:t xml:space="preserve">, con 21,840 registros producto-región-mes y 20 variables. Además, para las variables propias del cliente se usó una tabla de </w:t>
      </w:r>
      <w:r>
        <w:rPr>
          <w:b/>
          <w:bCs/>
        </w:rPr>
        <w:t xml:space="preserve">44,987 clientes únicos</w:t>
      </w:r>
      <w:r>
        <w:t xml:space="preserve">, porque en el Nivel Micro cada cliente se repite en todos sus movimientos.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Variables numéricas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Variables categóricas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Micro (Diario)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17: units_sold, Num_Children, Annual_Purchase_Frequency, static_price, units_expected, stock, percentage, sales_amount, Age, Monthly_Salary, Client_Seniority_Years, Average_Ticket, Annual_Total_Spend, Ventas_Acumuladas, Stock_Restante, Cumplimiento_Venta_Esperada, Repeat_Purchase_Rate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14: category, subcategory, region, month, year, Gender, Geographic_Zone, Marital_Status, Education_Level, Occupation, Socioeconomic_Level, Client_Category, Discount_Usage, Preferred_Channel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Macro (Mensual)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12: units_expected, stock, percentage, units_sold, sales_amount, static_price, Ventas_Acumuladas_Mensual, Stock_Restante_Mensual, Cumplimiento_Venta_Esperada, Product_Repeat_Purchase_Rate, Venta_Promedio_Diaria, Dias_Cobertura_Inventario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5: category, subcategory, region, month, year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Cliente (clientes únicos)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7: Age, Num_Children, Monthly_Salary, Client_Seniority_Years, Annual_Purchase_Frequency, Average_Ticket, Annual_Total_Spend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9: Gender, Geographic_Zone, Marital_Status, Education_Level, Occupation, Socioeconomic_Level, Client_Category, Discount_Usage, Preferred_Channel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Se incluyen las variables creadas por el equipo (Cumplimiento_Venta_Esperada, Ventas_Acumuladas, Stock_Restante, Venta_Promedio_Diaria y Dias_Cobertura_Inventario). Las pruebas se eligieron según el tipo de variables, como indica la actividad: </w:t>
      </w:r>
      <w:r>
        <w:rPr>
          <w:b/>
          <w:bCs/>
        </w:rPr>
        <w:t xml:space="preserve">Pearson, Spearman y Kendall</w:t>
      </w:r>
      <w:r>
        <w:t xml:space="preserve"> para numérica–numérica, </w:t>
      </w:r>
      <w:r>
        <w:rPr>
          <w:b/>
          <w:bCs/>
        </w:rPr>
        <w:t xml:space="preserve">ANOVA o T-test</w:t>
      </w:r>
      <w:r>
        <w:t xml:space="preserve"> para categórica–numérica, y </w:t>
      </w:r>
      <w:r>
        <w:rPr>
          <w:b/>
          <w:bCs/>
        </w:rPr>
        <w:t xml:space="preserve">Chi-cuadrado</w:t>
      </w:r>
      <w:r>
        <w:t xml:space="preserve"> para categórica–categórica.</w:t>
      </w:r>
    </w:p>
    <w:p>
      <w:pPr>
        <w:pStyle w:val="Heading1"/>
        <w:spacing w:after="100" w:before="240"/>
      </w:pPr>
      <w:r>
        <w:t xml:space="preserve">1. Correlación de los datos (</w:t>
      </w:r>
      <w:r>
        <w:rPr>
          <w:b/>
          <w:bCs/>
          <w:highlight w:val="yellow"/>
          <w:highlightCs w:val="yellow"/>
        </w:rPr>
        <w:t xml:space="preserve">Aldahir</w:t>
      </w:r>
      <w:r>
        <w:t xml:space="preserve"> y </w:t>
      </w:r>
      <w:r>
        <w:rPr>
          <w:b/>
          <w:bCs/>
          <w:highlight w:val="yellow"/>
          <w:highlightCs w:val="yellow"/>
        </w:rPr>
        <w:t xml:space="preserve">Javier</w:t>
      </w:r>
      <w:r>
        <w:t xml:space="preserve">)</w:t>
      </w:r>
    </w:p>
    <w:p>
      <w:pPr>
        <w:spacing w:after="120"/>
      </w:pPr>
      <w:r>
        <w:t xml:space="preserve">Se calcularon tres medidas de correlación para todas las variables numéricas de cada nivel: </w:t>
      </w:r>
      <w:r>
        <w:rPr>
          <w:b/>
          <w:bCs/>
        </w:rPr>
        <w:t xml:space="preserve">Pearson</w:t>
      </w:r>
      <w:r>
        <w:t xml:space="preserve"> (relación lineal, sensible a valores extremos), </w:t>
      </w:r>
      <w:r>
        <w:rPr>
          <w:b/>
          <w:bCs/>
        </w:rPr>
        <w:t xml:space="preserve">Spearman</w:t>
      </w:r>
      <w:r>
        <w:t xml:space="preserve"> (relación monótona basada en rangos) y </w:t>
      </w:r>
      <w:r>
        <w:rPr>
          <w:b/>
          <w:bCs/>
        </w:rPr>
        <w:t xml:space="preserve">Kendall</w:t>
      </w:r>
      <w:r>
        <w:t xml:space="preserve"> (concordancia entre pares de observaciones, también basada en rangos y más conservadora). Los valores van de −1 a 1: cerca de ±1 indica una relación fuerte y cerca de 0, ninguna relación. Como referencia se usa |r| ≥ 0.7 fuerte, 0.4–0.7 moderada, 0.1–0.4 débil y &lt; 0.1 nula.</w:t>
      </w:r>
    </w:p>
    <w:p>
      <w:pPr>
        <w:pStyle w:val="Heading2"/>
        <w:spacing w:after="100" w:before="160"/>
      </w:pPr>
      <w:r>
        <w:t xml:space="preserve">1.1 Nivel Micro (Diario) (</w:t>
      </w:r>
      <w:r>
        <w:rPr>
          <w:b/>
          <w:bCs/>
          <w:highlight w:val="yellow"/>
          <w:highlightCs w:val="yellow"/>
        </w:rPr>
        <w:t xml:space="preserve">Aldahir</w:t>
      </w:r>
      <w:r>
        <w:t xml:space="preserve">)</w:t>
      </w:r>
    </w:p>
    <w:p>
      <w:pPr>
        <w:pStyle w:val="Heading3"/>
        <w:spacing w:after="100" w:before="160"/>
      </w:pPr>
      <w:r>
        <w:t xml:space="preserve">1.1.1 Correlación de Pearson – Nivel Micro (</w:t>
      </w:r>
      <w:r>
        <w:rPr>
          <w:b/>
          <w:bCs/>
          <w:highlight w:val="yellow"/>
          <w:highlightCs w:val="yellow"/>
        </w:rPr>
        <w:t xml:space="preserve">Aldahir</w:t>
      </w:r>
      <w:r>
        <w:t xml:space="preserve">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1. Mapa de calor – Correlación de Pearson, Nivel Micro</w:t>
      </w:r>
    </w:p>
    <w:p>
      <w:pPr>
        <w:pStyle w:val="Heading3"/>
        <w:spacing w:after="100" w:before="160"/>
      </w:pPr>
      <w:r>
        <w:t xml:space="preserve">1.1.2 Correlación de Spearman – Nivel Micro (</w:t>
      </w:r>
      <w:r>
        <w:rPr>
          <w:b/>
          <w:bCs/>
          <w:highlight w:val="yellow"/>
          <w:highlightCs w:val="yellow"/>
        </w:rPr>
        <w:t xml:space="preserve">Aldahir</w:t>
      </w:r>
      <w:r>
        <w:t xml:space="preserve">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2. Mapa de calor – Correlación de Spearman, Nivel Micro</w:t>
      </w:r>
    </w:p>
    <w:p>
      <w:pPr>
        <w:pStyle w:val="Heading3"/>
        <w:spacing w:after="100" w:before="160"/>
      </w:pPr>
      <w:r>
        <w:t xml:space="preserve">1.1.3 Correlación de Kendall – Nivel Micro (</w:t>
      </w:r>
      <w:r>
        <w:rPr>
          <w:b/>
          <w:bCs/>
          <w:highlight w:val="yellow"/>
          <w:highlightCs w:val="yellow"/>
        </w:rPr>
        <w:t xml:space="preserve">Aldahir</w:t>
      </w:r>
      <w:r>
        <w:t xml:space="preserve">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3. Mapa de calor – Correlación de Kendall, Nivel Micro</w:t>
      </w:r>
    </w:p>
    <w:p>
      <w:pPr>
        <w:pStyle w:val="Heading3"/>
        <w:spacing w:after="100" w:before="160"/>
      </w:pPr>
      <w:r>
        <w:t xml:space="preserve">1.1.4 Análisis – Nivel Micro (</w:t>
      </w:r>
      <w:r>
        <w:rPr>
          <w:b/>
          <w:bCs/>
          <w:highlight w:val="yellow"/>
          <w:highlightCs w:val="yellow"/>
        </w:rPr>
        <w:t xml:space="preserve">Aldahir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Análisis:</w:t>
      </w:r>
      <w:r>
        <w:t xml:space="preserve"> de los 136 pares de variables, </w:t>
      </w:r>
      <w:r>
        <w:rPr>
          <w:b/>
          <w:bCs/>
        </w:rPr>
        <w:t xml:space="preserve">111 (82%) tienen una correlación prácticamente nula</w:t>
      </w:r>
      <w:r>
        <w:t xml:space="preserve"> (|ρ| &lt; 0.1) y solo 8 son fuertes (|ρ| ≥ 0.7). Los mapas muestran dos bloques de variables que casi no se relacionan entre sí: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 de inventario y producto:</w:t>
      </w:r>
      <w:r>
        <w:t xml:space="preserve"> stock y Stock_Restante (ρ = 0.967), units_expected y stock (ρ = 0.930), units_expected y Stock_Restante (ρ = 0.893), y static_price con sales_amount (ρ = 0.718). Son relaciones esperadas por construcción: el stock restante es el stock menos lo vendido, y el monto depende del precio.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 del cliente:</w:t>
      </w:r>
      <w:r>
        <w:t xml:space="preserve"> Monthly_Salary con Average_Ticket (ρ = 0.905), Average_Ticket con Annual_Total_Spend (ρ = 0.897), Annual_Purchase_Frequency con Annual_Total_Spend (ρ = 0.883) y Monthly_Salary con Annual_Total_Spend (ρ = 0.875). Los clientes con mayor ingreso tienen un ticket mayor, compran más seguido y gastan más al año.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 bloques no hay relación:</w:t>
      </w:r>
      <w:r>
        <w:t xml:space="preserve"> las variables del cliente (edad, salario, frecuencia, gasto) tienen correlaciones cercanas a 0 con las de producto e inventario. Age, Num_Children y Client_Seniority_Years casi no se relacionan con ninguna variable.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 y sales_amount</w:t>
      </w:r>
      <w:r>
        <w:t xml:space="preserve"> tienen una correlación moderada (Pearson 0.529, Spearman 0.595): el monto de cada movimiento depende más del precio del producto (0.718) que del número de piezas.</w:t>
      </w:r>
    </w:p>
    <w:p>
      <w:pPr>
        <w:spacing w:after="120"/>
      </w:pPr>
      <w:r>
        <w:t xml:space="preserve">Los tres métodos dan resultados muy parecidos en este nivel (diferencia máxima entre Spearman y Pearson de 0.066, en units_sold–sales_amount). Kendall da valores sistemáticamente más bajos (|τ| promedio 0.088 contra 0.116 de Spearman), lo cual es normal por cómo se calcula, y conserva el mismo orden de las relaciones.</w:t>
      </w:r>
    </w:p>
    <w:p>
      <w:pPr>
        <w:pStyle w:val="Heading2"/>
        <w:spacing w:after="100" w:before="160"/>
      </w:pPr>
      <w:r>
        <w:t xml:space="preserve">1.2 Nivel Macro (Mensual) (</w:t>
      </w:r>
      <w:r>
        <w:rPr>
          <w:b/>
          <w:bCs/>
          <w:highlight w:val="yellow"/>
          <w:highlightCs w:val="yellow"/>
        </w:rPr>
        <w:t xml:space="preserve">Javier</w:t>
      </w:r>
      <w:r>
        <w:t xml:space="preserve">)</w:t>
      </w:r>
    </w:p>
    <w:p>
      <w:pPr>
        <w:pStyle w:val="Heading3"/>
        <w:spacing w:after="100" w:before="160"/>
      </w:pPr>
      <w:r>
        <w:t xml:space="preserve">1.2.1 Correlación de Pearson – Nivel Macro (</w:t>
      </w:r>
      <w:r>
        <w:rPr>
          <w:b/>
          <w:bCs/>
          <w:highlight w:val="yellow"/>
          <w:highlightCs w:val="yellow"/>
        </w:rPr>
        <w:t xml:space="preserve">Javier</w:t>
      </w:r>
      <w:r>
        <w:t xml:space="preserve">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4. Mapa de calor – Correlación de Pearson, Nivel Macro</w:t>
      </w:r>
    </w:p>
    <w:p>
      <w:pPr>
        <w:pStyle w:val="Heading3"/>
        <w:spacing w:after="100" w:before="160"/>
      </w:pPr>
      <w:r>
        <w:t xml:space="preserve">1.2.2 Correlación de Spearman – Nivel Macro (</w:t>
      </w:r>
      <w:r>
        <w:rPr>
          <w:b/>
          <w:bCs/>
          <w:highlight w:val="yellow"/>
          <w:highlightCs w:val="yellow"/>
        </w:rPr>
        <w:t xml:space="preserve">Javier</w:t>
      </w:r>
      <w:r>
        <w:t xml:space="preserve">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5. Mapa de calor – Correlación de Spearman, Nivel Macro</w:t>
      </w:r>
    </w:p>
    <w:p>
      <w:pPr>
        <w:pStyle w:val="Heading3"/>
        <w:spacing w:after="100" w:before="160"/>
      </w:pPr>
      <w:r>
        <w:t xml:space="preserve">1.2.3 Correlación de Kendall – Nivel Macro (</w:t>
      </w:r>
      <w:r>
        <w:rPr>
          <w:b/>
          <w:bCs/>
          <w:highlight w:val="yellow"/>
          <w:highlightCs w:val="yellow"/>
        </w:rPr>
        <w:t xml:space="preserve">Javier</w:t>
      </w:r>
      <w:r>
        <w:t xml:space="preserve">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6. Mapa de calor – Correlación de Kendall, Nivel Macro</w:t>
      </w:r>
    </w:p>
    <w:p>
      <w:pPr>
        <w:pStyle w:val="Heading3"/>
        <w:spacing w:after="100" w:before="160"/>
      </w:pPr>
      <w:r>
        <w:t xml:space="preserve">1.2.4 Análisis – Nivel Macro (</w:t>
      </w:r>
      <w:r>
        <w:rPr>
          <w:b/>
          <w:bCs/>
          <w:highlight w:val="yellow"/>
          <w:highlightCs w:val="yellow"/>
        </w:rPr>
        <w:t xml:space="preserve">Javier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Análisis:</w:t>
      </w:r>
      <w:r>
        <w:t xml:space="preserve"> el Nivel Macro tiene correlaciones mucho más fuertes (|ρ| promedio 0.474): 23 de 66 pares son fuertes.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Variables redundantes:</w:t>
      </w:r>
      <w:r>
        <w:t xml:space="preserve"> units_sold y Ventas_Acumuladas_Mensual son idénticas (r = 1.000), y Venta_Promedio_Diaria es casi igual a ambas (r = 0.999), porque es units_sold dividido entre los días del mes. stock y Stock_Restante_Mensual también están muy relacionadas (r = 0.966).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 y cobertura:</w:t>
      </w:r>
      <w:r>
        <w:t xml:space="preserve"> Cumplimiento_Venta_Esperada tiene una relación </w:t>
      </w:r>
      <w:r>
        <w:rPr>
          <w:b/>
          <w:bCs/>
        </w:rPr>
        <w:t xml:space="preserve">inversa casi perfecta</w:t>
      </w:r>
      <w:r>
        <w:t xml:space="preserve"> con Dias_Cobertura_Inventario (Spearman −0.965, Kendall −0.842), y positiva con units_sold (ρ = 0.897): los productos-región que más venden cumplen más su pronóstico y tienen menos días de inventario.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 esperado sí sigue a lo vendido, pero no en nivel:</w:t>
      </w:r>
      <w:r>
        <w:t xml:space="preserve"> units_expected y units_sold tienen una correlación de 0.710 (Pearson) y 0.715 (Spearman). El pronóstico ordena bien qué productos-región venden más, aunque su nivel es mucho mayor que las ventas.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Product_Repeat_Purchase_Rate apenas se relaciona con las demás variables</w:t>
      </w:r>
      <w:r>
        <w:t xml:space="preserve"> (|r| ≤ 0.19 con Pearson y |ρ| ≤ 0.16 con Spearman), y percentage casi no se relaciona con static_price (ρ = 0.008).</w:t>
      </w:r>
    </w:p>
    <w:p>
      <w:pPr>
        <w:pStyle w:val="Heading2"/>
        <w:spacing w:after="100" w:before="160"/>
      </w:pPr>
      <w:r>
        <w:t xml:space="preserve">1.3 Comparación de métodos (</w:t>
      </w:r>
      <w:r>
        <w:rPr>
          <w:b/>
          <w:bCs/>
          <w:highlight w:val="yellow"/>
          <w:highlightCs w:val="yellow"/>
        </w:rPr>
        <w:t xml:space="preserve">Javier</w:t>
      </w:r>
      <w:r>
        <w:t xml:space="preserve">)</w:t>
      </w:r>
    </w:p>
    <w:p>
      <w:pPr>
        <w:spacing w:after="120"/>
      </w:pPr>
      <w:r>
        <w:t xml:space="preserve">Pares con mayor correlación de Spearman en cada nivel y su valor con los tres métodos:</w:t>
      </w:r>
    </w:p>
    <w:p>
      <w:pPr>
        <w:spacing w:after="120"/>
      </w:pPr>
      <w:r>
        <w:rPr>
          <w:b/>
          <w:bCs/>
        </w:rPr>
        <w:t xml:space="preserve">Nivel Macro – correlaciones más fuertes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250"/>
        <w:gridCol w:w="1260"/>
        <w:gridCol w:w="125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 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 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Pearson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Spearman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Kendall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Ventas_Acumuladas_Mensual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1.000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1.000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1.000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Venta_Promedio_Diaria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0.999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0.999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0.984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Ventas_Acumuladas_Mensual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Venta_Promedio_Diaria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0.999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0.999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0.984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stock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Stock_Restante_Mensual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0.966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0.970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0.864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Dias_Cobertura_Inventario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-0.814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-0.965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-0.842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units_expected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stock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0.931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0.937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0.787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units_expected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Stock_Restante_Mensual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0.893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0.910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0.744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0.880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0.897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0.713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Ventas_Acumuladas_Mensual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0.880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0.897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0.713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Venta_Promedio_Diaria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0.878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0.896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0.711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Venta_Promedio_Diaria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Dias_Cobertura_Inventario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-0.700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-0.862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-0.667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Dias_Cobertura_Inventario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-0.700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-0.862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-0.667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Nivel Macro – correlaciones más débiles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250"/>
        <w:gridCol w:w="1260"/>
        <w:gridCol w:w="125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 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 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Pearson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Spearman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Kendall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Product_Repeat_Purchase_Rate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Dias_Cobertura_Inventario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0.007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percentage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Product_Repeat_Purchase_Rate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0.004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-0.004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-0.003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Product_Repeat_Purchase_Rate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-0.010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-0.005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-0.003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percentage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0.005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sales_amount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Product_Repeat_Purchase_Rate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0.060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-0.030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-0.020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-0.030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-0.038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-0.025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Nivel Micro – correlaciones más fuertes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250"/>
        <w:gridCol w:w="1260"/>
        <w:gridCol w:w="125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 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 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Pearson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Spearman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Kendall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stock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Stock_Restante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0.967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0.967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0.854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units_expected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stock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0.924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0.930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0.774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Monthly_Salary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Average_Ticket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0.926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0.905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0.733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Average_Ticket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0.863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0.897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0.727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units_expected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Stock_Restante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0.883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0.893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0.721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Annual_Purchase_Frequency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0.856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0.883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0.732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Monthly_Salary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0.857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0.875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0.690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sales_amount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0.718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0.534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Annual_Purchase_Frequency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Monthly_Salary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0.674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0.666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0.496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Annual_Purchase_Frequency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Average_Ticket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0.624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0.608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0.446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sales_amount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0.529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0.595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0.464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Ventas_Acumuladas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0.578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0.588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0.422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Nivel Micro – correlaciones más débiles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250"/>
        <w:gridCol w:w="1260"/>
        <w:gridCol w:w="125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 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 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Pearson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Spearman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Kendall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Num_Children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Annual_Purchase_Frequency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percentage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Annual_Purchase_Frequency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Ventas_Acumuladas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Annual_Purchase_Frequency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Age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 diferencia más grande entre métodos aparece en las relaciones con </w:t>
      </w:r>
      <w:r>
        <w:rPr>
          <w:b/>
          <w:bCs/>
        </w:rPr>
        <w:t xml:space="preserve">Dias_Cobertura_Inventario</w:t>
      </w:r>
      <w:r>
        <w:t xml:space="preserve">: Pearson subestima la relación inversa con Cumplimiento_Venta_Esperada (−0.814) frente a Spearman (−0.965), y con units_sold (−0.699 contra −0.862). La relación es fuertemente monótona pero </w:t>
      </w:r>
      <w:r>
        <w:rPr>
          <w:b/>
          <w:bCs/>
        </w:rPr>
        <w:t xml:space="preserve">no lineal</w:t>
      </w:r>
      <w:r>
        <w:t xml:space="preserve"> (curva), porque la cobertura se calcula como stock entre venta diaria: cuando las ventas son muy bajas, los días se disparan.</w:t>
      </w:r>
    </w:p>
    <w:p>
      <w:pPr>
        <w:pStyle w:val="Heading2"/>
        <w:spacing w:after="100" w:before="160"/>
      </w:pPr>
      <w:r>
        <w:t xml:space="preserve">1.4 Conclusión de correlaciones (</w:t>
      </w:r>
      <w:r>
        <w:rPr>
          <w:b/>
          <w:bCs/>
          <w:highlight w:val="yellow"/>
          <w:highlightCs w:val="yellow"/>
        </w:rPr>
        <w:t xml:space="preserve">Aldahir</w:t>
      </w:r>
      <w:r>
        <w:t xml:space="preserve"> y </w:t>
      </w:r>
      <w:r>
        <w:rPr>
          <w:b/>
          <w:bCs/>
          <w:highlight w:val="yellow"/>
          <w:highlightCs w:val="yellow"/>
        </w:rPr>
        <w:t xml:space="preserve">Javier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Medida que más ayudó: Spearman.</w:t>
      </w:r>
      <w:r>
        <w:t xml:space="preserve"> Las variables de ventas, montos, gasto y cobertura tienen distribuciones sesgadas y con valores extremos (sección 4.2). Spearman trabaja con rangos, así que no se distorsiona por esos valores y detecta relaciones monótonas que no son lineales. El caso más claro es Cumplimiento–Cobertura: Pearson −0.814 contra Spearman −0.965. Kendall confirmó el mismo orden de relaciones con valores más conservadores, y Pearson sirvió para comparar y detectar las relaciones lineales exactas (variables redundantes).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Mejores correlaciones:</w:t>
      </w:r>
      <w:r>
        <w:t xml:space="preserve"> las redundantes por construcción (units_sold–Ventas_Acumuladas_Mensual = 1.000; units_sold–Venta_Promedio_Diaria = 0.999; stock–Stock_Restante 0.97). Entre variables distintas, las más útiles son Cumplimiento–Dias_Cobertura (ρ = −0.965), units_sold–Cumplimiento (0.897), Monthly_Salary–Average_Ticket (0.905) y Annual_Purchase_Frequency–Annual_Total_Spend (0.883).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Peores correlaciones:</w:t>
      </w:r>
      <w:r>
        <w:t xml:space="preserve"> las tasas de recompra con casi todas las variables (Repeat_Purchase_Rate |ρ| ≤ 0.045 en Micro; Product_Repeat_Purchase_Rate |ρ| ≤ 0.16 en Macro), y en el Nivel Micro las variables del cliente contra las de producto e inventario (por ejemplo, Num_Children–Annual_Total_Spend ≈ 0.000). Las tasas de recompra casi no varían, así que no pueden explicar a ninguna otra variable.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Variables que usaríamos para los modelos (solo con base en las correlaciones):</w:t>
      </w:r>
      <w:r>
        <w:t xml:space="preserve"> eliminar una de cada par redundante para evitar multicolinealidad. Se propone conservar </w:t>
      </w:r>
      <w:r>
        <w:rPr>
          <w:b/>
          <w:bCs/>
        </w:rPr>
        <w:t xml:space="preserve">units_sold</w:t>
      </w:r>
      <w:r>
        <w:t xml:space="preserve"> (y eliminar Ventas_Acumuladas_Mensual y Venta_Promedio_Diaria), </w:t>
      </w:r>
      <w:r>
        <w:rPr>
          <w:b/>
          <w:bCs/>
        </w:rPr>
        <w:t xml:space="preserve">stock</w:t>
      </w:r>
      <w:r>
        <w:t xml:space="preserve"> (y eliminar Stock_Restante y Stock_Restante_Mensual), </w:t>
      </w:r>
      <w:r>
        <w:rPr>
          <w:b/>
          <w:bCs/>
        </w:rPr>
        <w:t xml:space="preserve">units_expected</w:t>
      </w:r>
      <w:r>
        <w:t xml:space="preserve">, </w:t>
      </w:r>
      <w:r>
        <w:rPr>
          <w:b/>
          <w:bCs/>
        </w:rPr>
        <w:t xml:space="preserve">sales_amount</w:t>
      </w:r>
      <w:r>
        <w:t xml:space="preserve">, </w:t>
      </w:r>
      <w:r>
        <w:rPr>
          <w:b/>
          <w:bCs/>
        </w:rPr>
        <w:t xml:space="preserve">static_price</w:t>
      </w:r>
      <w:r>
        <w:t xml:space="preserve">, </w:t>
      </w:r>
      <w:r>
        <w:rPr>
          <w:b/>
          <w:bCs/>
        </w:rPr>
        <w:t xml:space="preserve">Cumplimiento_Venta_Esperada</w:t>
      </w:r>
      <w:r>
        <w:t xml:space="preserve"> y </w:t>
      </w:r>
      <w:r>
        <w:rPr>
          <w:b/>
          <w:bCs/>
        </w:rPr>
        <w:t xml:space="preserve">Dias_Cobertura_Inventario</w:t>
      </w:r>
      <w:r>
        <w:t xml:space="preserve"> para el inventario; y </w:t>
      </w:r>
      <w:r>
        <w:rPr>
          <w:b/>
          <w:bCs/>
        </w:rPr>
        <w:t xml:space="preserve">Monthly_Salary</w:t>
      </w:r>
      <w:r>
        <w:t xml:space="preserve">, </w:t>
      </w:r>
      <w:r>
        <w:rPr>
          <w:b/>
          <w:bCs/>
        </w:rPr>
        <w:t xml:space="preserve">Annual_Purchase_Frequency</w:t>
      </w:r>
      <w:r>
        <w:t xml:space="preserve"> y </w:t>
      </w:r>
      <w:r>
        <w:rPr>
          <w:b/>
          <w:bCs/>
        </w:rPr>
        <w:t xml:space="preserve">Annual_Total_Spend</w:t>
      </w:r>
      <w:r>
        <w:t xml:space="preserve"> para el cliente (Average_Ticket se descarta por su ρ = 0.905 con el salario). Se descartan las tasas de recompra por no aportar información.</w:t>
      </w:r>
    </w:p>
    <w:p>
      <w:pPr>
        <w:pStyle w:val="Heading1"/>
        <w:spacing w:after="100" w:before="240"/>
      </w:pPr>
      <w:r>
        <w:t xml:space="preserve">2. Análisis ANOVA y T-test (</w:t>
      </w:r>
      <w:r>
        <w:rPr>
          <w:b/>
          <w:bCs/>
          <w:highlight w:val="yellow"/>
          <w:highlightCs w:val="yellow"/>
        </w:rPr>
        <w:t xml:space="preserve">Felix</w:t>
      </w:r>
      <w:r>
        <w:t xml:space="preserve">)</w:t>
      </w:r>
    </w:p>
    <w:p>
      <w:pPr>
        <w:pStyle w:val="Heading2"/>
        <w:spacing w:after="100" w:before="160"/>
      </w:pPr>
      <w:r>
        <w:t xml:space="preserve">2.1 Método (</w:t>
      </w:r>
      <w:r>
        <w:rPr>
          <w:b/>
          <w:bCs/>
          <w:highlight w:val="yellow"/>
          <w:highlightCs w:val="yellow"/>
        </w:rPr>
        <w:t xml:space="preserve">Felix</w:t>
      </w:r>
      <w:r>
        <w:t xml:space="preserve">)</w:t>
      </w:r>
    </w:p>
    <w:p>
      <w:pPr>
        <w:spacing w:after="120"/>
      </w:pPr>
      <w:r>
        <w:t xml:space="preserve">Para cada combinación de variable categórica y variable numérica se comparan las medias de los grupos. Si la variable categórica tiene </w:t>
      </w:r>
      <w:r>
        <w:rPr>
          <w:b/>
          <w:bCs/>
        </w:rPr>
        <w:t xml:space="preserve">dos categorías</w:t>
      </w:r>
      <w:r>
        <w:t xml:space="preserve"> (Gender, year) se usa la </w:t>
      </w:r>
      <w:r>
        <w:rPr>
          <w:b/>
          <w:bCs/>
        </w:rPr>
        <w:t xml:space="preserve">prueba T de Welch</w:t>
      </w:r>
      <w:r>
        <w:t xml:space="preserve">, que no supone varianzas iguales; si tiene </w:t>
      </w:r>
      <w:r>
        <w:rPr>
          <w:b/>
          <w:bCs/>
        </w:rPr>
        <w:t xml:space="preserve">tres o más</w:t>
      </w:r>
      <w:r>
        <w:t xml:space="preserve">, se usa </w:t>
      </w:r>
      <w:r>
        <w:rPr>
          <w:b/>
          <w:bCs/>
        </w:rPr>
        <w:t xml:space="preserve">ANOVA de un factor</w:t>
      </w:r>
      <w:r>
        <w:t xml:space="preserve">. Para todas las pruebas, con α = 0.05: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H₀:</w:t>
      </w:r>
      <w:r>
        <w:t xml:space="preserve"> las medias de la variable numérica son iguales en todas las categorías (no hay dependencia).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H₁:</w:t>
      </w:r>
      <w:r>
        <w:t xml:space="preserve"> al menos una categoría tiene una media distinta (hay dependencia).</w:t>
      </w:r>
    </w:p>
    <w:p>
      <w:pPr>
        <w:spacing w:after="120"/>
      </w:pPr>
      <w:r>
        <w:t xml:space="preserve">Además se calcularon la </w:t>
      </w:r>
      <w:r>
        <w:rPr>
          <w:b/>
          <w:bCs/>
        </w:rPr>
        <w:t xml:space="preserve">prueba de Levene</w:t>
      </w:r>
      <w:r>
        <w:t xml:space="preserve"> (igualdad de varianzas), la </w:t>
      </w:r>
      <w:r>
        <w:rPr>
          <w:b/>
          <w:bCs/>
        </w:rPr>
        <w:t xml:space="preserve">prueba de Kruskal-Wallis</w:t>
      </w:r>
      <w:r>
        <w:t xml:space="preserve"> (alternativa no paramétrica, por si no se cumplen los supuestos de ANOVA) y el </w:t>
      </w:r>
      <w:r>
        <w:rPr>
          <w:b/>
          <w:bCs/>
        </w:rPr>
        <w:t xml:space="preserve">tamaño del efecto η²</w:t>
      </w:r>
      <w:r>
        <w:t xml:space="preserve"> (proporción de la variación explicada por la categoría: &lt; 0.01 despreciable, 0.01–0.06 pequeño, 0.06–0.14 mediano y ≥ 0.14 grande).</w:t>
      </w:r>
    </w:p>
    <w:p>
      <w:pPr>
        <w:spacing w:after="120"/>
      </w:pPr>
      <w:r>
        <w:rPr>
          <w:b/>
          <w:bCs/>
        </w:rPr>
        <w:t xml:space="preserve">Importante:</w:t>
      </w:r>
      <w:r>
        <w:t xml:space="preserve"> con 2.4 millones de movimientos, casi cualquier diferencia mínima resulta "significativa". En el Nivel Micro se rechazó H₀ en 191 de 238 pruebas, pero solo 54 tienen un efecto al menos pequeño (η² ≥ 0.01) y 34 un efecto grande. Por eso las conclusiones se basan en el </w:t>
      </w:r>
      <w:r>
        <w:rPr>
          <w:b/>
          <w:bCs/>
        </w:rPr>
        <w:t xml:space="preserve">tamaño del efecto</w:t>
      </w:r>
      <w:r>
        <w:t xml:space="preserve"> y no solo en el valor p. Kruskal-Wallis coincidió con ANOVA/T-test en 228 de 238 pruebas (Micro) y 60 de 60 (Macro), así que los resultados no dependen del supuesto de normalidad.</w:t>
      </w:r>
    </w:p>
    <w:p>
      <w:pPr>
        <w:pStyle w:val="Heading2"/>
        <w:spacing w:after="100" w:before="160"/>
      </w:pPr>
      <w:r>
        <w:t xml:space="preserve">2.2 Pruebas de hipótesis de la problemática (</w:t>
      </w:r>
      <w:r>
        <w:rPr>
          <w:b/>
          <w:bCs/>
          <w:highlight w:val="yellow"/>
          <w:highlightCs w:val="yellow"/>
        </w:rPr>
        <w:t xml:space="preserve">Felix</w:t>
      </w:r>
      <w:r>
        <w:t xml:space="preserve">)</w:t>
      </w:r>
    </w:p>
    <w:p>
      <w:pPr>
        <w:spacing w:after="120"/>
      </w:pPr>
      <w:r>
        <w:t xml:space="preserve">Se plantearon hipótesis ligadas a la problemática de DanuStore (planeación de la demanda e inventario, y valor del cliente):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60"/>
        <w:gridCol w:w="800"/>
        <w:gridCol w:w="1050"/>
        <w:gridCol w:w="850"/>
        <w:gridCol w:w="700"/>
        <w:gridCol w:w="130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Hipótesis (H₁)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Variables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Prueba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Estadístico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 p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η²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H1. El cumplimiento de la venta esperada depende de la región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 – Cumplimiento (Macro)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 = 28,428.98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0.887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Se rechaza H₀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H2. Los días de cobertura dependen de la región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 – Dias_Cobertura (Macro)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 = 7,938.66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0.686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Se rechaza H₀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H3a. Las unidades esperadas cambiaron entre 2024 y 2025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year – units_expected (Macro)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T-test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t = -12.85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Se rechaza H₀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H3b. Las unidades vendidas cambiaron entre 2024 y 2025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year – units_sold (Macro)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T-test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t = -0.25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0.799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No se rechaza H₀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H4a. Las ventas cambian según el mes (estacionalidad)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month – units_sold (Macro)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 = 36.25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0.018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Se rechaza H₀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H4b. El pronóstico cambia según el mes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month – units_expected (Macro)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 = 0.40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0.958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No se rechaza H₀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H5. El gasto anual depende del nivel socioeconómico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 – Annual_Total_Spend (clientes)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 = 16,128.20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0.589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Se rechaza H₀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H6. El salario depende de Client_Category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 – Monthly_Salary (clientes)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 = 72,982.85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0.830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Se rechaza H₀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H7. El gasto anual depende del género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Gender – Annual_Total_Spend (clientes)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T-test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t = 0.23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0.815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No se rechaza H₀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H8. El gasto anual depende del canal preferido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Preferred_Channel – Annual_Total_Spend (clientes)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 = 0.70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0.496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No se rechaza H₀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H1 y H2 (región):</w:t>
      </w:r>
      <w:r>
        <w:t xml:space="preserve"> se rechaza H₀ con efectos muy grandes. La región explica el </w:t>
      </w:r>
      <w:r>
        <w:rPr>
          <w:b/>
          <w:bCs/>
        </w:rPr>
        <w:t xml:space="preserve">88.7%</w:t>
      </w:r>
      <w:r>
        <w:t xml:space="preserve"> de la variación del cumplimiento (media de 33.75% en Ciudad de México contra 6.72% en Sureste) y el 68.6% de los días de cobertura. Es la variable categórica más importante para el inventario.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H3 (2024 vs. 2025):</w:t>
      </w:r>
      <w:r>
        <w:t xml:space="preserve"> las unidades esperadas sí aumentaron (media de 1,184.86 a 1,260.13 por registro; p &lt; 0.001), y también el stock (p &lt; 0.001), pero las </w:t>
      </w:r>
      <w:r>
        <w:rPr>
          <w:b/>
          <w:bCs/>
        </w:rPr>
        <w:t xml:space="preserve">unidades vendidas no cambiaron</w:t>
      </w:r>
      <w:r>
        <w:t xml:space="preserve"> (207.24 contra 207.85; p = 0.799). Se confirma estadísticamente que el pronóstico y el inventario crecieron sin que crecieran las ventas.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H4 (estacionalidad):</w:t>
      </w:r>
      <w:r>
        <w:t xml:space="preserve"> las ventas sí dependen del mes (F = 36.25, p &lt; 0.001), pero el pronóstico </w:t>
      </w:r>
      <w:r>
        <w:rPr>
          <w:b/>
          <w:bCs/>
        </w:rPr>
        <w:t xml:space="preserve">no</w:t>
      </w:r>
      <w:r>
        <w:t xml:space="preserve"> (F = 0.40, p = 0.958). Se confirma que la proyección de la demanda no incorpora la estacionalidad. El efecto del mes sobre las ventas es pequeño (η² = 0.018) porque las diferencias entre productos y regiones son mucho mayores que las del calendario.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H5 y H6 (cliente):</w:t>
      </w:r>
      <w:r>
        <w:t xml:space="preserve"> el nivel socioeconómico explica el 58.9% de la variación del gasto anual y el 40.5% de la frecuencia de compra. Client_Category explica el </w:t>
      </w:r>
      <w:r>
        <w:rPr>
          <w:b/>
          <w:bCs/>
        </w:rPr>
        <w:t xml:space="preserve">83.0%</w:t>
      </w:r>
      <w:r>
        <w:t xml:space="preserve"> de la variación del salario: las categorías corresponden prácticamente a rangos de ingreso.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H7 y H8:</w:t>
      </w:r>
      <w:r>
        <w:t xml:space="preserve"> no se rechaza H₀. No hay evidencia de que el gasto anual dependa del género (medias de $10,756 y $10,730; p = 0.815) ni del canal preferido (p = 0.496).</w:t>
      </w:r>
    </w:p>
    <w:p>
      <w:pPr>
        <w:pStyle w:val="Heading2"/>
        <w:spacing w:after="100" w:before="160"/>
      </w:pPr>
      <w:r>
        <w:t xml:space="preserve">2.3 Resultados de todas las variables (</w:t>
      </w:r>
      <w:r>
        <w:rPr>
          <w:b/>
          <w:bCs/>
          <w:highlight w:val="yellow"/>
          <w:highlightCs w:val="yellow"/>
        </w:rPr>
        <w:t xml:space="preserve">Felix</w:t>
      </w:r>
      <w:r>
        <w:t xml:space="preserve">)</w:t>
      </w:r>
    </w:p>
    <w:p>
      <w:pPr>
        <w:spacing w:after="120"/>
      </w:pPr>
      <w:r>
        <w:t xml:space="preserve">Se realizaron 238 pruebas en el Nivel Micro (34 T-test), 60 en el Macro (12 T-test) y 63 a nivel cliente (7 T-test). Los mapas de calor muestran el tamaño del efecto η² de cada combinación.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7. Tamaño del efecto (η²) – Nivel Macro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8. Tamaño del efecto (η²) – Nivel Micro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9. Tamaño del efecto (η²) – Nivel Cliente</w:t>
      </w:r>
    </w:p>
    <w:p>
      <w:pPr>
        <w:spacing w:after="120"/>
      </w:pPr>
      <w:r>
        <w:rPr>
          <w:b/>
          <w:bCs/>
        </w:rPr>
        <w:t xml:space="preserve">Nivel Macro – efectos más grandes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850"/>
        <w:gridCol w:w="1350"/>
        <w:gridCol w:w="900"/>
        <w:gridCol w:w="800"/>
        <w:gridCol w:w="10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Categórica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Numérica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Prueba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Estadístico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 p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η²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Efecto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28,428.98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0.887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Venta_Promedio_Diaria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11,185.64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0.755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11,070.45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0.753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Ventas_Acumuladas_Mensual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11,070.45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0.753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Dias_Cobertura_Inventario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7,938.66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0.686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subcategory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2,615.41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0.590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sales_amount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3,177.56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0.466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stock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1,566.06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0.301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2,286.18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0.239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percentage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971.05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0.211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Nivel Micro – efectos más grandes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850"/>
        <w:gridCol w:w="1350"/>
        <w:gridCol w:w="900"/>
        <w:gridCol w:w="800"/>
        <w:gridCol w:w="10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Categórica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Numérica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Prueba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Estadístico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 p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η²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Efecto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2,117,396.49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0.841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Monthly_Salary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3,868,405.51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0.829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Monthly_Salary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1,640,510.21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0.732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Average_Ticket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1,987,311.47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0.713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Geographic_Zone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955,693.87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0.705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1,836,540.78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0.697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Average_Ticket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1,010,719.56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0.628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subcategory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296,665.16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0.598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853,202.01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0.587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Occupation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Age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313,846.87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0.567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Nivel Cliente – efectos más grandes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850"/>
        <w:gridCol w:w="1350"/>
        <w:gridCol w:w="900"/>
        <w:gridCol w:w="800"/>
        <w:gridCol w:w="10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Categórica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Numérica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Prueba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Estadístico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 p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η²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Efecto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Monthly_Salary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72,982.85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0.830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Monthly_Salary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30,800.63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0.733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Average_Ticket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37,229.33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0.713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34,854.36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0.699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Average_Ticket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18,871.42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0.627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16,128.20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0.589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Occupation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Age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5,859.23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0.566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Annual_Purchase_Frequency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10,638.61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0.415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Annual_Purchase_Frequency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7,654.00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0.405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Discount_Usage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Monthly_Salary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ANOVA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12,876.44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0.364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Grande</w:t>
            </w:r>
          </w:p>
        </w:tc>
      </w:tr>
    </w:tbl>
    <w:p>
      <w:pPr>
        <w:spacing w:after="60"/>
      </w:pPr>
    </w:p>
    <w:p>
      <w:pPr>
        <w:pStyle w:val="Heading2"/>
        <w:spacing w:after="100" w:before="160"/>
      </w:pPr>
      <w:r>
        <w:t xml:space="preserve">2.4 Análisis de ANOVA y T-test (</w:t>
      </w:r>
      <w:r>
        <w:rPr>
          <w:b/>
          <w:bCs/>
          <w:highlight w:val="yellow"/>
          <w:highlightCs w:val="yellow"/>
        </w:rPr>
        <w:t xml:space="preserve">Felix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Región</w:t>
      </w:r>
      <w:r>
        <w:t xml:space="preserve"> es la variable que más explica el desempeño del inventario: cumplimiento (η² = 0.887 Macro), unidades y venta diaria (0.75), días de cobertura (0.686) y monto vendido (0.466).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Subcategoría y categoría</w:t>
      </w:r>
      <w:r>
        <w:t xml:space="preserve"> explican principalmente el precio (η² = 0.598 y 0.271 en el Nivel Micro; 0.590 y 0.239 en el Macro), no el cumplimiento ni la cobertura: el problema de inventario es más regional que de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Client_Category y Socioeconomic_Level</w:t>
      </w:r>
      <w:r>
        <w:t xml:space="preserve"> explican el salario, el ticket promedio, la frecuencia y el gasto anual (η² entre 0.40 y 0.83). Occupation explica la edad (η² = 0.567) porque los jubilados tienen una mediana de 67 años, contra 37–41 años en las demás ocupaciones.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Gender</w:t>
      </w:r>
      <w:r>
        <w:t xml:space="preserve"> no tiene efecto en ninguna variable (η² &lt; 0.001 en todas). </w:t>
      </w:r>
      <w:r>
        <w:rPr>
          <w:b/>
          <w:bCs/>
        </w:rPr>
        <w:t xml:space="preserve">year</w:t>
      </w:r>
      <w:r>
        <w:t xml:space="preserve"> y </w:t>
      </w:r>
      <w:r>
        <w:rPr>
          <w:b/>
          <w:bCs/>
        </w:rPr>
        <w:t xml:space="preserve">month</w:t>
      </w:r>
      <w:r>
        <w:t xml:space="preserve"> tienen efectos pequeños, pero confirman los hallazgos de las hipótesis H3 y H4.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Supuestos:</w:t>
      </w:r>
      <w:r>
        <w:t xml:space="preserve"> Levene rechazó la igualdad de varianzas en la mayoría de las pruebas (190 de 238 en Micro); por eso se usó la prueba T de Welch y se confirmó cada resultado con Kruskal-Wallis, que coincidió en el 96% de los casos.</w:t>
      </w:r>
    </w:p>
    <w:p>
      <w:pPr>
        <w:pStyle w:val="Heading1"/>
        <w:spacing w:after="100" w:before="240"/>
      </w:pPr>
      <w:r>
        <w:t xml:space="preserve">3. Prueba de independencia Chi-cuadrado (</w:t>
      </w:r>
      <w:r>
        <w:rPr>
          <w:b/>
          <w:bCs/>
          <w:highlight w:val="yellow"/>
          <w:highlightCs w:val="yellow"/>
        </w:rPr>
        <w:t xml:space="preserve">André</w:t>
      </w:r>
      <w:r>
        <w:t xml:space="preserve">)</w:t>
      </w:r>
    </w:p>
    <w:p>
      <w:pPr>
        <w:pStyle w:val="Heading2"/>
        <w:spacing w:after="100" w:before="160"/>
      </w:pPr>
      <w:r>
        <w:t xml:space="preserve">3.1 Método (</w:t>
      </w:r>
      <w:r>
        <w:rPr>
          <w:b/>
          <w:bCs/>
          <w:highlight w:val="yellow"/>
          <w:highlightCs w:val="yellow"/>
        </w:rPr>
        <w:t xml:space="preserve">André</w:t>
      </w:r>
      <w:r>
        <w:t xml:space="preserve">)</w:t>
      </w:r>
    </w:p>
    <w:p>
      <w:pPr>
        <w:spacing w:after="120"/>
      </w:pPr>
      <w:r>
        <w:t xml:space="preserve">Se aplicó la prueba de independencia Chi-cuadrado a </w:t>
      </w:r>
      <w:r>
        <w:rPr>
          <w:b/>
          <w:bCs/>
        </w:rPr>
        <w:t xml:space="preserve">todos los pares de variables categóricas</w:t>
      </w:r>
      <w:r>
        <w:t xml:space="preserve"> de cada nivel, con α = 0.05: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H₀:</w:t>
      </w:r>
      <w:r>
        <w:t xml:space="preserve"> las dos variables son independientes.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H₁:</w:t>
      </w:r>
      <w:r>
        <w:t xml:space="preserve"> existe una relación (dependencia) entre las dos variables.</w:t>
      </w:r>
    </w:p>
    <w:p>
      <w:pPr>
        <w:spacing w:after="120"/>
      </w:pPr>
      <w:r>
        <w:t xml:space="preserve">Como el valor p se vuelve casi siempre significativo con muestras muy grandes, la fuerza de la relación se mide con la </w:t>
      </w:r>
      <w:r>
        <w:rPr>
          <w:b/>
          <w:bCs/>
        </w:rPr>
        <w:t xml:space="preserve">V de Cramér</w:t>
      </w:r>
      <w:r>
        <w:t xml:space="preserve"> (0 = independencia, 1 = asociación perfecta; &lt; 0.1 despreciable, 0.1–0.3 débil, 0.3–0.5 moderada, &gt; 0.5 fuerte). En todas las tablas al menos el 95% de las frecuencias esperadas es ≥ 5, por lo que se cumple el supuesto de la prueba. El cálculo se verificó a mano, con scipy y con scikit-learn, con el mismo resultado (χ² = 356.20 para Client_Category vs. Preferred_Channel).</w:t>
      </w:r>
    </w:p>
    <w:p>
      <w:pPr>
        <w:pStyle w:val="Heading2"/>
        <w:spacing w:after="100" w:before="160"/>
      </w:pPr>
      <w:r>
        <w:t xml:space="preserve">3.2 Nivel Micro (Diario) (</w:t>
      </w:r>
      <w:r>
        <w:rPr>
          <w:b/>
          <w:bCs/>
          <w:highlight w:val="yellow"/>
          <w:highlightCs w:val="yellow"/>
        </w:rPr>
        <w:t xml:space="preserve">André</w:t>
      </w:r>
      <w:r>
        <w:t xml:space="preserve">)</w:t>
      </w:r>
    </w:p>
    <w:p>
      <w:pPr>
        <w:spacing w:after="120"/>
      </w:pPr>
      <w:r>
        <w:t xml:space="preserve">Se evaluaron 91 pares: se rechaza H₀ en 73, pero solo 12 tienen una relación al menos débil (V ≥ 0.1) y 6 una relación moderada o fuerte (V ≥ 0.3).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10. V de Cramér – Nivel Micro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1700"/>
        <w:gridCol w:w="600"/>
        <w:gridCol w:w="1000"/>
        <w:gridCol w:w="12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Variable 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Variable 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Tabla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χ²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 p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 de Cramér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subcategory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4x13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7,189,989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36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Geographic_Zone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7x7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11,973,085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36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0.912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2,786,035.9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0.622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Discount_Usage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1,570,619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0.572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Discount_Usage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4x3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847,853.3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0.421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Education_Level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1,130,374.5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0.397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Education_Level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739,885.1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0.278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Gender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Occupation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2x11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141,079.1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0.243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Education_Level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Discount_Usage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261,313.2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0.233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Marital_Status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Occupation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452,357.8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40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0.217</w:t>
            </w:r>
          </w:p>
        </w:tc>
      </w:tr>
    </w:tbl>
    <w:p>
      <w:pPr>
        <w:spacing w:after="60"/>
      </w:pPr>
    </w:p>
    <w:p>
      <w:pPr>
        <w:pStyle w:val="Heading2"/>
        <w:spacing w:after="100" w:before="160"/>
      </w:pPr>
      <w:r>
        <w:t xml:space="preserve">3.3 Nivel Cliente (clientes únicos) (</w:t>
      </w:r>
      <w:r>
        <w:rPr>
          <w:b/>
          <w:bCs/>
          <w:highlight w:val="yellow"/>
          <w:highlightCs w:val="yellow"/>
        </w:rPr>
        <w:t xml:space="preserve">André</w:t>
      </w:r>
      <w:r>
        <w:t xml:space="preserve">)</w:t>
      </w:r>
    </w:p>
    <w:p>
      <w:pPr>
        <w:spacing w:after="120"/>
      </w:pPr>
      <w:r>
        <w:t xml:space="preserve">Para las variables propias del cliente se repitió la prueba con un registro por cliente. De 36 pares, se rechaza H₀ en </w:t>
      </w:r>
      <w:r>
        <w:rPr>
          <w:b/>
          <w:bCs/>
        </w:rPr>
        <w:t xml:space="preserve">10</w:t>
      </w:r>
      <w:r>
        <w:t xml:space="preserve"> y las otras 26 resultan independientes.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11. V de Cramér – Nivel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1700"/>
        <w:gridCol w:w="600"/>
        <w:gridCol w:w="1000"/>
        <w:gridCol w:w="12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Variable 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Variable 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Tabla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χ²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 p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 de Cramér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52,351.2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0.623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Discount_Usage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29,415.9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0.572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Discount_Usage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4x3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15,863.8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0.420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Education_Level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21,803.9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0.402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Education_Level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14,105.8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0.280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Gender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Occupation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2x11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2,676.8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0.244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Education_Level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Discount_Usage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4,906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0.234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Marital_Status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Occupation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8,493.6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40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0.217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Occupation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Preferred_Channel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11x3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4,072.9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20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0.213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Marital_Status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Preferred_Channel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5x3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1,714.2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&lt; 0.001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t xml:space="preserve">0.138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Validación importante:</w:t>
      </w:r>
      <w:r>
        <w:t xml:space="preserve"> Client_Category vs. Preferred_Channel es significativa con los movimientos (χ² = 356.20, p &lt; 0.001), pero </w:t>
      </w:r>
      <w:r>
        <w:rPr>
          <w:b/>
          <w:bCs/>
        </w:rPr>
        <w:t xml:space="preserve">no</w:t>
      </w:r>
      <w:r>
        <w:t xml:space="preserve"> con clientes únicos (χ² = 4.40, p = 0.622, V = 0.007). La significancia del Nivel Micro aparece solo porque cada cliente se repite muchas veces; a nivel cliente, la categoría y el canal preferido son independientes. Por eso las relaciones entre atributos del cliente se interpretan con la tabla de clientes únicos.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12. Client_Category vs. Preferred_Channel con movimientos (significativa)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13. Client_Category vs. Preferred_Channel con clientes únicos (independientes)</w:t>
      </w:r>
    </w:p>
    <w:p>
      <w:pPr>
        <w:pStyle w:val="Heading2"/>
        <w:spacing w:after="100" w:before="160"/>
      </w:pPr>
      <w:r>
        <w:t xml:space="preserve">3.4 Nivel Macro (Mensual) (</w:t>
      </w:r>
      <w:r>
        <w:rPr>
          <w:b/>
          <w:bCs/>
          <w:highlight w:val="yellow"/>
          <w:highlightCs w:val="yellow"/>
        </w:rPr>
        <w:t xml:space="preserve">André</w:t>
      </w:r>
      <w:r>
        <w:t xml:space="preserve">)</w:t>
      </w:r>
    </w:p>
    <w:p>
      <w:pPr>
        <w:spacing w:after="120"/>
      </w:pPr>
      <w:r>
        <w:t xml:space="preserve">En el Nivel Macro solo category–subcategory resulta dependiente (V = 1). Los otros 9 pares tienen χ² = 0 y p = 1, </w:t>
      </w:r>
      <w:r>
        <w:rPr>
          <w:b/>
          <w:bCs/>
        </w:rPr>
        <w:t xml:space="preserve">por construcción de la base</w:t>
      </w:r>
      <w:r>
        <w:t xml:space="preserve">: el archivo mensual contiene todas las combinaciones de producto, región y mes, cada una exactamente una vez (por ejemplo, cada categoría aparece el mismo número de veces en cada región). Las frecuencias observadas son iguales a las esperadas, así que la prueba no aporta información en este nivel.</w:t>
      </w:r>
    </w:p>
    <w:p>
      <w:pPr>
        <w:pStyle w:val="Heading2"/>
        <w:spacing w:after="100" w:before="160"/>
      </w:pPr>
      <w:r>
        <w:t xml:space="preserve">3.5 Tablas de contingencia (</w:t>
      </w:r>
      <w:r>
        <w:rPr>
          <w:b/>
          <w:bCs/>
          <w:highlight w:val="yellow"/>
          <w:highlightCs w:val="yellow"/>
        </w:rPr>
        <w:t xml:space="preserve">André</w:t>
      </w:r>
      <w:r>
        <w:t xml:space="preserve">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14. Tabla de contingencia – Socioeconomic_Level vs. Client_Category (clientes únicos)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15. Tabla de contingencia – Socioeconomic_Level vs. Discount_Usage (clientes únicos)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Figura 16. Tabla de contingencia – region vs. Geographic_Zone (movimientos)</w:t>
      </w:r>
    </w:p>
    <w:p>
      <w:pPr>
        <w:pStyle w:val="Heading2"/>
        <w:spacing w:after="100" w:before="160"/>
      </w:pPr>
      <w:r>
        <w:t xml:space="preserve">3.6 Análisis de Chi-cuadrado (</w:t>
      </w:r>
      <w:r>
        <w:rPr>
          <w:b/>
          <w:bCs/>
          <w:highlight w:val="yellow"/>
          <w:highlightCs w:val="yellow"/>
        </w:rPr>
        <w:t xml:space="preserve">André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category – subcategory (V = 1.000):</w:t>
      </w:r>
      <w:r>
        <w:t xml:space="preserve"> relación perfecta y esperada, porque cada subcategoría pertenece a una sola categoría. No es un hallazgo.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region – Geographic_Zone (V = 0.913):</w:t>
      </w:r>
      <w:r>
        <w:t xml:space="preserve"> el 93.5% de los movimientos ocurre en la misma zona en la que vive el cliente. Las dos variables son casi redundantes; para modelar basta con 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Socioeconomic_Level – Client_Category (V = 0.623):</w:t>
      </w:r>
      <w:r>
        <w:t xml:space="preserve"> relación fuerte. Todos los clientes de nivel Bajo son Básico, y todos los Premium son de nivel Alto; no hay clientes en combinaciones lejanas.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Socioeconomic_Level – Discount_Usage (V = 0.572):</w:t>
      </w:r>
      <w:r>
        <w:t xml:space="preserve"> los niveles Bajo y Medio-Bajo nunca tienen uso de descuento Bajo (solo Medio o Alto), y los niveles Medio-Alto y Alto nunca tienen uso Alto. A menor nivel, mayor uso de descuentos.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Client_Category – Discount_Usage (V = 0.420)</w:t>
      </w:r>
      <w:r>
        <w:t xml:space="preserve"> y </w:t>
      </w:r>
      <w:r>
        <w:rPr>
          <w:b/>
          <w:bCs/>
        </w:rPr>
        <w:t xml:space="preserve">Education_Level – Client_Category (V = 0.402):</w:t>
      </w:r>
      <w:r>
        <w:t xml:space="preserve"> relaciones moderadas, en la misma línea de ingreso y nivel educativo.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Relaciones débiles:</w:t>
      </w:r>
      <w:r>
        <w:t xml:space="preserve"> Gender–Occupation (0.244), Marital_Status–Occupation (0.217) y Occupation–Preferred_Channel (0.213).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Variables independientes:</w:t>
      </w:r>
      <w:r>
        <w:t xml:space="preserve"> Gender y Geographic_Zone no tienen relación con el nivel socioeconómico, la categoría del cliente, el uso de descuentos ni el canal preferido (p &gt; 0.05 a nivel cliente). Marital_Status tampoco se relaciona con el nivel socioeconómico, la categoría ni el uso de descuentos, pero sí, de forma débil, con el canal preferido (V = 0.138).</w:t>
      </w:r>
    </w:p>
    <w:p>
      <w:pPr>
        <w:pStyle w:val="Heading1"/>
        <w:spacing w:after="100" w:before="240"/>
      </w:pPr>
      <w:r>
        <w:t xml:space="preserve">4. Conclusiones (</w:t>
      </w:r>
      <w:r>
        <w:rPr>
          <w:b/>
          <w:bCs/>
          <w:highlight w:val="yellow"/>
          <w:highlightCs w:val="yellow"/>
        </w:rPr>
        <w:t xml:space="preserve">Jaime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Spearman fue la medida de correlación más útil</w:t>
      </w:r>
      <w:r>
        <w:t xml:space="preserve">, porque las variables están sesgadas y algunas relaciones son monótonas pero no lineales (Cumplimiento–Cobertura: Pearson −0.81 contra Spearman −0.97).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Hay variables redundantes que deben eliminarse antes de modelar:</w:t>
      </w:r>
      <w:r>
        <w:t xml:space="preserve"> units_sold, Ventas_Acumuladas_Mensual y Venta_Promedio_Diaria (r ≥ 0.999); stock y Stock_Restante (0.97); Monthly_Salary y Average_Ticket (0.91); region y Geographic_Zone (V = 0.91).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variables de cliente y las de inventario forman bloques independientes:</w:t>
      </w:r>
      <w:r>
        <w:t xml:space="preserve"> el 82% de los pares del Nivel Micro tiene correlación nula. Para predecir ventas o inventario, las variables de producto y región aportan más que las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región es el factor que más explica el inventario:</w:t>
      </w:r>
      <w:r>
        <w:t xml:space="preserve"> explica el 88.7% de la variación del cumplimiento y el 68.6% de los días de cobertura (ANOVA).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pronóstico no sigue a la demanda:</w:t>
      </w:r>
      <w:r>
        <w:t xml:space="preserve"> entre 2024 y 2025 las unidades esperadas y el stock aumentaron (p &lt; 0.001) pero las ventas no (p = 0.799); y las ventas cambian según el mes (p &lt; 0.001) mientras el pronóstico no (p = 0.958). Se recomienda proyectar con ventas históricas e incluir la estacionalidad.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valor del cliente depende del ingreso:</w:t>
      </w:r>
      <w:r>
        <w:t xml:space="preserve"> el nivel socioeconómico explica el 58.9% del gasto anual, y Client_Category el 83.0% del salario y el 69.7% del gasto. El género y el canal preferido no influyen en el gasto.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 bases tan grandes, el valor p no basta:</w:t>
      </w:r>
      <w:r>
        <w:t xml:space="preserve"> casi todas las pruebas resultan significativas, por lo que el tamaño del efecto (η², V de Cramér) y la validación con clientes únicos son necesarios para no confundir significancia estadística con relevancia. Por ejemplo, Client_Category–Preferred_Channel es significativa con movimientos pero independiente con clientes únicos.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el Nivel Macro la prueba Chi-cuadrado no aplica para relaciones de negocio</w:t>
      </w:r>
      <w:r>
        <w:t xml:space="preserve">, porque la base es una cuadrícula balanceada de producto, región y mes.</w:t>
      </w:r>
    </w:p>
    <w:p>
      <w:pPr>
        <w:pStyle w:val="Heading1"/>
        <w:spacing w:after="100" w:before="240"/>
      </w:pPr>
      <w:r>
        <w:t xml:space="preserve">5. Contribución individual</w:t>
      </w:r>
    </w:p>
    <w:p>
      <w:pPr>
        <w:spacing w:after="120"/>
      </w:pPr>
      <w:r>
        <w:rPr>
          <w:b/>
          <w:bCs/>
          <w:highlight w:val="yellow"/>
          <w:highlightCs w:val="yellow"/>
        </w:rPr>
        <w:t xml:space="preserve">Reparto propuesto; confirmar con el equipo antes de entregar.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Parte del código y del documento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Aldahir Zarazúa Núñez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highlight w:val="yellow"/>
                <w:highlightCs w:val="yellow"/>
              </w:rPr>
              <w:t xml:space="preserve">1.1 Correlaciones del Nivel Micro (Pearson, Kendall, Spearman) y su análisis.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Javier Alejandro Padilla Matus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highlight w:val="yellow"/>
                <w:highlightCs w:val="yellow"/>
              </w:rPr>
              <w:t xml:space="preserve">1.2 Correlaciones del Nivel Macro, 1.3 comparación de métodos y conclusión de correlaciones.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Felix Samuel Vargas Mar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highlight w:val="yellow"/>
                <w:highlightCs w:val="yellow"/>
              </w:rPr>
              <w:t xml:space="preserve">2. ANOVA y T-test (Micro, Macro y cliente), hipótesis y su análisis.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André Alberto Navarro de la Parra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highlight w:val="yellow"/>
                <w:highlightCs w:val="yellow"/>
              </w:rPr>
              <w:t xml:space="preserve">3. Chi-cuadrado, tablas de contingencia, verificación y su análisis.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Jaime Hernández González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highlight w:val="yellow"/>
                <w:highlightCs w:val="yellow"/>
              </w:rPr>
              <w:t xml:space="preserve">PCA (adicional), 4. Conclusiones e integración del documento.</w:t>
            </w:r>
          </w:p>
        </w:tc>
      </w:tr>
    </w:tbl>
    <w:p>
      <w:pPr>
        <w:spacing w:after="60"/>
      </w:pPr>
    </w:p>
    <w:p>
      <w:pPr>
        <w:pStyle w:val="Heading1"/>
        <w:spacing w:after="100" w:before="240"/>
      </w:pPr>
      <w:r>
        <w:t xml:space="preserve">Anexos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Notebook de Colab (.ipynb): TI3002C_Etapa 4.3_Correlaciones_6.ipynb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Liga del Colab: </w:t>
      </w:r>
      <w:r>
        <w:rPr>
          <w:b/>
          <w:bCs/>
          <w:highlight w:val="yellow"/>
          <w:highlightCs w:val="yellow"/>
        </w:rPr>
        <w:t xml:space="preserve">pegar liga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del notebook: </w:t>
      </w:r>
      <w:r>
        <w:rPr>
          <w:b/>
          <w:bCs/>
          <w:highlight w:val="yellow"/>
          <w:highlightCs w:val="yellow"/>
        </w:rPr>
        <w:t xml:space="preserve">nombre del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Carpeta de Google Drive con las bases de datos: </w:t>
      </w:r>
      <w:r>
        <w:rPr>
          <w:b/>
          <w:bCs/>
          <w:highlight w:val="yellow"/>
          <w:highlightCs w:val="yellow"/>
        </w:rPr>
        <w:t xml:space="preserve">pegar liga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8c76a20406cff8fda4105d62a9265f9f0758d1.png"/><Relationship Id="rId8" Type="http://schemas.openxmlformats.org/officeDocument/2006/relationships/image" Target="media/1f446cac801dc1c674b86825cc129796412c4c32.png"/><Relationship Id="rId9" Type="http://schemas.openxmlformats.org/officeDocument/2006/relationships/image" Target="media/b38cca18c8565f2727acbc2c82703908f74cb715.png"/><Relationship Id="rId10" Type="http://schemas.openxmlformats.org/officeDocument/2006/relationships/image" Target="media/4649f0715b30e28abff9d96d0636d868f524fafd.png"/><Relationship Id="rId11" Type="http://schemas.openxmlformats.org/officeDocument/2006/relationships/image" Target="media/bad910bc202c7d2dece2016bfb7084768bd1b063.png"/><Relationship Id="rId12" Type="http://schemas.openxmlformats.org/officeDocument/2006/relationships/image" Target="media/defa46e292468ae8e030cf67820a64f51a438e5d.png"/><Relationship Id="rId13" Type="http://schemas.openxmlformats.org/officeDocument/2006/relationships/image" Target="media/89455e36b80a9ee373dd0bcf5c6aefd61233cd7b.png"/><Relationship Id="rId14" Type="http://schemas.openxmlformats.org/officeDocument/2006/relationships/image" Target="media/6242afa23836a37eb35a789780db4c16c4957b0f.png"/><Relationship Id="rId15" Type="http://schemas.openxmlformats.org/officeDocument/2006/relationships/image" Target="media/51a92a73974a4139a34b5c70b86deca66baf34f8.png"/><Relationship Id="rId16" Type="http://schemas.openxmlformats.org/officeDocument/2006/relationships/image" Target="media/5d9393152a7804b1d35380d5d9cdfbe67f8b61d5.png"/><Relationship Id="rId17" Type="http://schemas.openxmlformats.org/officeDocument/2006/relationships/image" Target="media/6e95e06788b6f62c35d850428f054768a57393bf.png"/><Relationship Id="rId18" Type="http://schemas.openxmlformats.org/officeDocument/2006/relationships/image" Target="media/31b2d6877e2bfcc644b7430750cda4b436af3a50.png"/><Relationship Id="rId19" Type="http://schemas.openxmlformats.org/officeDocument/2006/relationships/image" Target="media/9d37a062563ab988ecffb48de09987a664585e1d.png"/><Relationship Id="rId20" Type="http://schemas.openxmlformats.org/officeDocument/2006/relationships/image" Target="media/21a1ddaaf80d224eca6d5b824038669eff3f78ef.png"/><Relationship Id="rId21" Type="http://schemas.openxmlformats.org/officeDocument/2006/relationships/image" Target="media/e656df7e1fa7c8cd8c6411d2314e81167d2acf4b.png"/><Relationship Id="rId22" Type="http://schemas.openxmlformats.org/officeDocument/2006/relationships/image" Target="media/2709705aa2bd985a2046502e3e25abebf8ba18b8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2026-10-11T18:32:36.947Z</dcterms:created>
  <dcterms:modified xsi:type="dcterms:W3CDTF">2026-10-11T18:32:36.947Z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