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spacing w:after="120"/>
      </w:pPr>
      <w:r>
        <w:rPr>
          <w:b/>
          <w:bCs/>
          <w:highlight w:val="yellow"/>
          <w:highlightCs w:val="yellow"/>
        </w:rPr>
        <w:t xml:space="preserve">[Insertar aquí el Diagrama Entidad-Relación actualizado (Lucidchart)]</w:t>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~10,400</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 App ya suman 56.74%.</w:t>
      </w:r>
    </w:p>
    <w:p>
      <w:pPr>
        <w:pStyle w:val="ListParagraph"/>
        <w:numPr>
          <w:ilvl w:val="0"/>
          <w:numId w:val="2"/>
        </w:numPr>
        <w:spacing w:after="60"/>
      </w:pPr>
      <w:r>
        <w:rPr>
          <w:b/>
          <w:bCs/>
        </w:rPr>
        <w:t xml:space="preserve">Socioeconomic_Level:</w:t>
      </w:r>
      <w:r>
        <w:t xml:space="preserve"> el 84.03% de las transacciones vienen de niveles Bajo, Medio-Bajo y Medio; Alto solo representa 3.23%.</w:t>
      </w:r>
    </w:p>
    <w:p>
      <w:pPr>
        <w:pStyle w:val="ListParagraph"/>
        <w:numPr>
          <w:ilvl w:val="0"/>
          <w:numId w:val="2"/>
        </w:numPr>
        <w:spacing w:after="60"/>
      </w:pPr>
      <w:r>
        <w:rPr>
          <w:b/>
          <w:bCs/>
        </w:rPr>
        <w:t xml:space="preserve">Rango_Edad:</w:t>
      </w:r>
      <w:r>
        <w:t xml:space="preserve"> analizado por clientes únicos; 35-44 es el rango más común (~23%) y el 62% de los clientes tiene entre 25 y 54 años. En ventas, 35-44 genera $72.84 M (23.0%), 25-34 $64.51 M (20.4%) y 45-54 $58.33 M (18.4%). Todos los rangos gastan ~$7,000 por cliente.</w:t>
      </w:r>
    </w:p>
    <w:p>
      <w:pPr>
        <w:spacing w:after="120"/>
      </w:pPr>
      <w:r>
        <w:rPr>
          <w:b/>
          <w:bCs/>
          <w:highlight w:val="yellow"/>
          <w:highlightCs w:val="yellow"/>
        </w:rPr>
        <w:t xml:space="preserve">[Ajustar los % de clientes por rango con la tabla exacta de print(clientes_por_rango)]</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menos del 5.4%.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mediana 5 y Q3 = 8. </w:t>
      </w:r>
      <w:r>
        <w:rPr>
          <w:b/>
          <w:bCs/>
        </w:rPr>
        <w:t xml:space="preserve">Valor más frecuente:</w:t>
      </w:r>
      <w:r>
        <w:t xml:space="preserve"> 4 compras al año. La distribución tiene sesgo a la derecha: la mayoría compra entre 3 y 8 veces al año y muy pocos superan 15. </w:t>
      </w:r>
      <w:r>
        <w:rPr>
          <w:b/>
          <w:bCs/>
        </w:rPr>
        <w:t xml:space="preserve">Conclusión:</w:t>
      </w:r>
      <w:r>
        <w:t xml:space="preserve"> predominan los clientes de recurrencia media; los muy frecuentes son un grupo pequeño que conviene retener. </w:t>
      </w:r>
      <w:r>
        <w:rPr>
          <w:b/>
          <w:bCs/>
          <w:highlight w:val="yellow"/>
          <w:highlightCs w:val="yellow"/>
        </w:rPr>
        <w:t xml:space="preserve">[Confirmar frecuencias exactas con la tabla de frecuencias del notebook]</w:t>
      </w:r>
    </w:p>
    <w:p>
      <w:pPr>
        <w:pStyle w:val="Heading2"/>
        <w:spacing w:after="100" w:before="180"/>
      </w:pPr>
      <w:r>
        <w:t xml:space="preserve">C. Variables continuas (histogramas y boxplots)</w:t>
      </w:r>
    </w:p>
    <w:p>
      <w:pPr>
        <w:spacing w:after="120"/>
      </w:pPr>
      <w:r>
        <w:t xml:space="preserve">En los histogramas se graficaron la media, ±1σ y ±3.5σ, y la distribución normal teórica. En los boxplots se usó escala logarítmica cuando la asimetría es mayor a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Los intervalos más frecuentes están entre ~$50 y ~$175 (Q1 $67.05 – Q3 $173.80). Sesgo a la derecha. Outliers a partir de ~$334 (Q3 + 1.5·IQR); 12,002 transacciones (0.50%) quedan fuera de ±3.5σ, con máximo de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Fuerte sesgo a la derecha: la mayoría gasta entre $2,654 y $14,675 al año. Outliers a partir de ~$32,700; 34,833 registros (1.45%) fuera de ±3.5σ, máximo $118,710.24. Hay un grupo pequeño de clientes de muy alto valor.</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Intervalos más frecuentes entre 5% y 20% (Q1 8.11% – Q3 21.25%). Outliers a partir de ~41%; solo 22 registros (0.10%) fuera de ±3.5σ y 0 atípicos extremos. Se vende en promedio solo el 15.7% de lo esperado.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Intervalos más frecuentes entre ~150 y ~400 días (Q1 165.30 – Q3 383.27). Outliers a partir de ~710 días; 93 registros (0.43%) fuera de ±3.5σ, máximo 1,377 días. El inventario tarda en promedio casi 10 meses en desplazarse.</w:t>
            </w:r>
          </w:p>
        </w:tc>
      </w:tr>
    </w:tbl>
    <w:p>
      <w:pPr>
        <w:pStyle w:val="Heading2"/>
        <w:spacing w:after="100" w:before="180"/>
      </w:pPr>
      <w:r>
        <w:t xml:space="preserve">D. Conclusión de histogramas y boxplots</w:t>
      </w:r>
    </w:p>
    <w:p>
      <w:pPr>
        <w:spacing w:after="120"/>
      </w:pPr>
      <w:r>
        <w:t xml:space="preserve">Ninguna variable continua sigue una distribución normal: todas tienen sesgo a la derecha, con la mayoría de los valores concentrados en la parte baja y una cola de valores altos. Los outliers son pocos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p>
      <w:pPr>
        <w:pStyle w:val="ListParagraph"/>
        <w:numPr>
          <w:ilvl w:val="0"/>
          <w:numId w:val="2"/>
        </w:numPr>
        <w:spacing w:after="60"/>
      </w:pPr>
      <w:r>
        <w:rPr>
          <w:b/>
          <w:bCs/>
        </w:rPr>
        <w:t xml:space="preserve">region – Cumplimiento_Venta_Esperada:</w:t>
      </w:r>
      <w:r>
        <w:t xml:space="preserve"> Ciudad de México tiene el cumplimiento más alto (mediana ~35%), seguida de Monterrey (~23%) y Guadalajara (~17%); Noroeste, Sur y Sureste rondan apenas 7–10%. Las regiones pequeñas son las peor planeadas.</w:t>
      </w:r>
    </w:p>
    <w:p>
      <w:pPr>
        <w:pStyle w:val="ListParagraph"/>
        <w:numPr>
          <w:ilvl w:val="0"/>
          <w:numId w:val="2"/>
        </w:numPr>
        <w:spacing w:after="60"/>
      </w:pPr>
      <w:r>
        <w:rPr>
          <w:b/>
          <w:bCs/>
        </w:rPr>
        <w:t xml:space="preserve">region – Dias_Cobertura_Inventario:</w:t>
      </w:r>
      <w:r>
        <w:t xml:space="preserve"> comportamiento inverso: Ciudad de México tiene la menor cobertura (~100 días) y Sureste la mayor (~480 días, con outliers por arriba de 1,000). Las regiones con menos venta acumulan el sobrestock.</w:t>
      </w:r>
    </w:p>
    <w:p>
      <w:pPr>
        <w:pStyle w:val="ListParagraph"/>
        <w:numPr>
          <w:ilvl w:val="0"/>
          <w:numId w:val="2"/>
        </w:numPr>
        <w:spacing w:after="60"/>
      </w:pPr>
      <w:r>
        <w:rPr>
          <w:b/>
          <w:bCs/>
          <w:highlight w:val="yellow"/>
          <w:highlightCs w:val="yellow"/>
        </w:rPr>
        <w:t xml:space="preserve">[region – units_sold y sales_amount: completar]</w:t>
      </w:r>
    </w:p>
    <w:p>
      <w:pPr>
        <w:pStyle w:val="ListParagraph"/>
        <w:numPr>
          <w:ilvl w:val="0"/>
          <w:numId w:val="2"/>
        </w:numPr>
        <w:spacing w:after="60"/>
      </w:pPr>
      <w:r>
        <w:rPr>
          <w:b/>
          <w:bCs/>
          <w:highlight w:val="yellow"/>
          <w:highlightCs w:val="yellow"/>
        </w:rPr>
        <w:t xml:space="preserve">[category y subcategory – las 4 variables: completar]</w:t>
      </w:r>
    </w:p>
    <w:p>
      <w:pPr>
        <w:pStyle w:val="Heading2"/>
        <w:spacing w:after="100" w:before="180"/>
      </w:pPr>
      <w:r>
        <w:t xml:space="preserve">5.2 Nivel Micro (6 cualitativas + Rango_Edad)</w:t>
      </w:r>
    </w:p>
    <w:p>
      <w:pPr>
        <w:pStyle w:val="ListParagraph"/>
        <w:numPr>
          <w:ilvl w:val="0"/>
          <w:numId w:val="2"/>
        </w:numPr>
        <w:spacing w:after="60"/>
      </w:pPr>
      <w:r>
        <w:rPr>
          <w:b/>
          <w:bCs/>
          <w:highlight w:val="yellow"/>
          <w:highlightCs w:val="yellow"/>
        </w:rPr>
        <w:t xml:space="preserve">[category, subcategory, region, Client_Category, Preferred_Channel, Socioeconomic_Level: completar]</w:t>
      </w:r>
    </w:p>
    <w:p>
      <w:pPr>
        <w:pStyle w:val="ListParagraph"/>
        <w:numPr>
          <w:ilvl w:val="0"/>
          <w:numId w:val="2"/>
        </w:numPr>
        <w:spacing w:after="60"/>
      </w:pPr>
      <w:r>
        <w:rPr>
          <w:b/>
          <w:bCs/>
        </w:rPr>
        <w:t xml:space="preserve">Rango_Edad:</w:t>
      </w:r>
      <w:r>
        <w:t xml:space="preserve"> las cuatro variables (units_sold, Annual_Purchase_Frequency, sales_amount, Annual_Total_Spend) tienen distribuciones prácticamente iguales en todos los rangos. sales_amount presenta outliers en todos los rangos a partir de ~$350, con máximos cercanos a $1,000. Annual_Total_Spend (escala log) tampoco muestra diferencias.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Se venden entre 160 y 230 mil unidades al mes, contra una demanda esperada de 1.07 a 1.15 millones: solo se vende el </w:t>
      </w:r>
      <w:r>
        <w:rPr>
          <w:b/>
          <w:bCs/>
        </w:rPr>
        <w:t xml:space="preserve">15–20% de lo esperado</w:t>
      </w:r>
      <w:r>
        <w:t xml:space="preserve">.</w:t>
      </w:r>
    </w:p>
    <w:p>
      <w:pPr>
        <w:pStyle w:val="ListParagraph"/>
        <w:numPr>
          <w:ilvl w:val="0"/>
          <w:numId w:val="2"/>
        </w:numPr>
        <w:spacing w:after="60"/>
      </w:pPr>
      <w:r>
        <w:t xml:space="preserve">El stock supera lo esperado en ~11% (~120 mil unidades) todos los meses.</w:t>
      </w:r>
    </w:p>
    <w:p>
      <w:pPr>
        <w:pStyle w:val="ListParagraph"/>
        <w:numPr>
          <w:ilvl w:val="0"/>
          <w:numId w:val="2"/>
        </w:numPr>
        <w:spacing w:after="60"/>
      </w:pPr>
      <w:r>
        <w:t xml:space="preserve">En enero de 2025 la proyección y el stock subieron ~6–7%, pero las ventas se mantuvieron igual que en 2024.</w:t>
      </w:r>
    </w:p>
    <w:p>
      <w:pPr>
        <w:pStyle w:val="ListParagraph"/>
        <w:numPr>
          <w:ilvl w:val="0"/>
          <w:numId w:val="2"/>
        </w:numPr>
        <w:spacing w:after="60"/>
      </w:pPr>
      <w:r>
        <w:t xml:space="preserve">Las ventas son estacionales (pico en noviembre–diciembre, mínimo en febrero), pero la proyección es prácticamente plana.</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solo 12%: la mitad de los registros mensuales vende menos del 12% de lo esperado.</w:t>
      </w:r>
    </w:p>
    <w:p>
      <w:pPr>
        <w:pStyle w:val="ListParagraph"/>
        <w:numPr>
          <w:ilvl w:val="0"/>
          <w:numId w:val="2"/>
        </w:numPr>
        <w:spacing w:after="60"/>
      </w:pPr>
      <w:r>
        <w:t xml:space="preserve">La cobertura mediana de 267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outliers en la cola superior (menos del 1.5% de los datos).</w:t>
      </w:r>
    </w:p>
    <w:p>
      <w:pPr>
        <w:pStyle w:val="ListParagraph"/>
        <w:numPr>
          <w:ilvl w:val="0"/>
          <w:numId w:val="2"/>
        </w:numPr>
        <w:spacing w:after="60"/>
      </w:pPr>
      <w:r>
        <w:t xml:space="preserve">La canasta típica es de 1–2 piezas (81% de las transacciones) y el ticket mediano es de $109.66.</w:t>
      </w:r>
    </w:p>
    <w:p>
      <w:pPr>
        <w:pStyle w:val="ListParagraph"/>
        <w:numPr>
          <w:ilvl w:val="0"/>
          <w:numId w:val="2"/>
        </w:numPr>
        <w:spacing w:after="60"/>
      </w:pPr>
      <w:r>
        <w:t xml:space="preserve">DanuStore solo vende en promedio el 15.7% de las unidades esperadas y su inventario dura ~289 días: existe una sobreestimación sistemática de la demanda.</w:t>
      </w:r>
    </w:p>
    <w:p>
      <w:pPr>
        <w:pStyle w:val="ListParagraph"/>
        <w:numPr>
          <w:ilvl w:val="0"/>
          <w:numId w:val="2"/>
        </w:numPr>
        <w:spacing w:after="60"/>
      </w:pPr>
      <w:r>
        <w:t xml:space="preserve">Ciudad de México, Monterrey y Guadalajara concentran el 73.64% de las transacciones y son las regiones con mejor cumplimiento; las regiones pequeñas acumulan el sobrestock (hasta ~480 días de cobertura en Sureste).</w:t>
      </w:r>
    </w:p>
    <w:p>
      <w:pPr>
        <w:pStyle w:val="ListParagraph"/>
        <w:numPr>
          <w:ilvl w:val="0"/>
          <w:numId w:val="2"/>
        </w:numPr>
        <w:spacing w:after="60"/>
      </w:pPr>
      <w:r>
        <w:t xml:space="preserve">El 92% de las transacciones son de clientes Básico y Silver; el programa de lealtad tiene poca penetración en Gold y Premium.</w:t>
      </w:r>
    </w:p>
    <w:p>
      <w:pPr>
        <w:pStyle w:val="ListParagraph"/>
        <w:numPr>
          <w:ilvl w:val="0"/>
          <w:numId w:val="2"/>
        </w:numPr>
        <w:spacing w:after="60"/>
      </w:pPr>
      <w:r>
        <w:t xml:space="preserve">El 62% de los clientes tiene entre 25 y 54 años, pero la edad no cambia el comportamiento de compra (~$7,000 por cliente en todos los rangos).</w:t>
      </w:r>
    </w:p>
    <w:p>
      <w:pPr>
        <w:pStyle w:val="ListParagraph"/>
        <w:numPr>
          <w:ilvl w:val="0"/>
          <w:numId w:val="2"/>
        </w:numPr>
        <w:spacing w:after="60"/>
      </w:pPr>
      <w:r>
        <w:t xml:space="preserve">En 2025 aumentaron la proyección y el stock sin que aumentaran las ventas;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2026-10-04T20:02:07.840Z</dcterms:created>
  <dcterms:modified xsi:type="dcterms:W3CDTF">2026-10-04T20:02:07.849Z</dcterms:modified>
</cp:coreProperties>
</file>

<file path=docProps/custom.xml><?xml version="1.0" encoding="utf-8"?>
<Properties xmlns="http://schemas.openxmlformats.org/officeDocument/2006/custom-properties" xmlns:vt="http://schemas.openxmlformats.org/officeDocument/2006/docPropsVTypes"/>
</file>