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10,411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23.14%</w:t>
            </w:r>
          </w:p>
        </w:tc>
      </w:tr>
    </w:tbl>
    <w:p>
      <w:pPr>
        <w:pStyle w:val="Heading2"/>
        <w:spacing w:after="100" w:before="180"/>
      </w:pPr>
      <w:r>
        <w:t xml:space="preserve">Hallazgos</w:t>
      </w:r>
    </w:p>
    <w:p>
      <w:pPr>
        <w:pStyle w:val="ListParagraph"/>
        <w:numPr>
          <w:ilvl w:val="0"/>
          <w:numId w:val="2"/>
        </w:numPr>
        <w:spacing w:after="60"/>
      </w:pPr>
      <w:r>
        <w:rPr>
          <w:b/>
          <w:bCs/>
        </w:rPr>
        <w:t xml:space="preserve">category:</w:t>
      </w:r>
      <w:r>
        <w:t xml:space="preserve"> la demanda está bien repartida; Footwear (29.03%) y Casual Wear (27.17%) concentran el 56.20% de las transacciones, Accessories es la menor (20.16%).</w:t>
      </w:r>
    </w:p>
    <w:p>
      <w:pPr>
        <w:pStyle w:val="ListParagraph"/>
        <w:numPr>
          <w:ilvl w:val="0"/>
          <w:numId w:val="2"/>
        </w:numPr>
        <w:spacing w:after="60"/>
      </w:pPr>
      <w:r>
        <w:rPr>
          <w:b/>
          <w:bCs/>
        </w:rPr>
        <w:t xml:space="preserve">subcategory:</w:t>
      </w:r>
      <w:r>
        <w:t xml:space="preserve"> Sneakers lidera (13.31%); con la regla del 70% se conservan 8 subcategorías (hasta Sandals, 74.10% acumulado) y 5 se agrupan en "Otras" (Outerwear, Hats, Bags, Jewelry, Belts).</w:t>
      </w:r>
    </w:p>
    <w:p>
      <w:pPr>
        <w:pStyle w:val="ListParagraph"/>
        <w:numPr>
          <w:ilvl w:val="0"/>
          <w:numId w:val="2"/>
        </w:numPr>
        <w:spacing w:after="60"/>
      </w:pPr>
      <w:r>
        <w:rPr>
          <w:b/>
          <w:bCs/>
        </w:rPr>
        <w:t xml:space="preserve">region:</w:t>
      </w:r>
      <w:r>
        <w:t xml:space="preserve"> alta concentración: Ciudad de México (35.57%), Monterrey (22.20%) y Guadalajara (15.87%) suman el 73.64% de las transacciones.</w:t>
      </w:r>
    </w:p>
    <w:p>
      <w:pPr>
        <w:pStyle w:val="ListParagraph"/>
        <w:numPr>
          <w:ilvl w:val="0"/>
          <w:numId w:val="2"/>
        </w:numPr>
        <w:spacing w:after="60"/>
      </w:pPr>
      <w:r>
        <w:rPr>
          <w:b/>
          <w:bCs/>
        </w:rPr>
        <w:t xml:space="preserve">Client_Category:</w:t>
      </w:r>
      <w:r>
        <w:t xml:space="preserve"> el 92.36% de las transacciones son de clientes Básico (51.87%) y Silver (40.49%); Premium representa solo 0.74%.</w:t>
      </w:r>
    </w:p>
    <w:p>
      <w:pPr>
        <w:pStyle w:val="ListParagraph"/>
        <w:numPr>
          <w:ilvl w:val="0"/>
          <w:numId w:val="2"/>
        </w:numPr>
        <w:spacing w:after="60"/>
      </w:pPr>
      <w:r>
        <w:rPr>
          <w:b/>
          <w:bCs/>
        </w:rPr>
        <w:t xml:space="preserve">Preferred_Channel:</w:t>
      </w:r>
      <w:r>
        <w:t xml:space="preserve"> Tienda física (43.26%) sigue siendo el canal principal, pero Online (36.85%) + App (19.89%) ya suman 56.74%.</w:t>
      </w:r>
    </w:p>
    <w:p>
      <w:pPr>
        <w:pStyle w:val="ListParagraph"/>
        <w:numPr>
          <w:ilvl w:val="0"/>
          <w:numId w:val="2"/>
        </w:numPr>
        <w:spacing w:after="60"/>
      </w:pPr>
      <w:r>
        <w:rPr>
          <w:b/>
          <w:bCs/>
        </w:rPr>
        <w:t xml:space="preserve">Socioeconomic_Level:</w:t>
      </w:r>
      <w:r>
        <w:t xml:space="preserve"> el 84.03% de las transacciones vienen de niveles Medio, Medio-Bajo y Bajo; Alto solo representa 3.23%.</w:t>
      </w:r>
    </w:p>
    <w:p>
      <w:pPr>
        <w:pStyle w:val="ListParagraph"/>
        <w:numPr>
          <w:ilvl w:val="0"/>
          <w:numId w:val="2"/>
        </w:numPr>
        <w:spacing w:after="60"/>
      </w:pPr>
      <w:r>
        <w:rPr>
          <w:b/>
          <w:bCs/>
        </w:rPr>
        <w:t xml:space="preserve">Rango_Edad:</w:t>
      </w:r>
      <w:r>
        <w:t xml:space="preserve"> analizado con los 44,987 clientes únicos. 35-44 es el rango más frecuente (10,411 clientes, 23.14%), seguido de 25-34 (9,134; 20.30%) y 45-54 (8,329; 18.51%); 65+ tiene 5,963 (13.25%), 55-64 5,608 (12.47%) y 18-24 5,542 (12.32%). El 61.95% de los clientes tiene entre 25 y 54 años. En ventas, 35-44 genera $72.84 M (22.99% del total), 25-34 $64.51 M (20.36%), 45-54 $58.31 M (18.40%), 65+ $42.14 M (13.30%), 18-24 $39.66 M (12.52%) y 55-64 $39.36 M (12.42%). El gasto por cliente es casi igual en todos los rangos: de $6,996.64 (35-44) a $7,156.74 (18-24).</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El 80.99% de las transacciones son de 1 o 2 piezas; compras de 4 o más son el 5.40%.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spacing w:after="120"/>
      </w:pPr>
      <w:r>
        <w:t xml:space="preserve">Rango de 1 a 26 compras al año; media 5.91, Q1 = 3, mediana 5 y Q3 = 8. </w:t>
      </w:r>
      <w:r>
        <w:rPr>
          <w:b/>
          <w:bCs/>
        </w:rPr>
        <w:t xml:space="preserve">Valor más frecuente:</w:t>
      </w:r>
      <w:r>
        <w:t xml:space="preserve"> 4 compras al año (312,409 registros, 13.04%), seguido de 5 (11.91%) y 3 (11.66%). El 71.92% de los registros corresponde a clientes con 7 compras o menos y solo el 1.34% a clientes con más de 15. La media es mayor que la mediana (sesgo a la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Compras al año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157,861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217,274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279,529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11.66%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27.32%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312,409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40.35%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285,474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52.26%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253,406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62.84%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217,804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71.92%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173,472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7.24%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79.16%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138,555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84.94%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89.36%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 a 15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222,983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9.30%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98.66%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 a 26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31,996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Conclusión:</w:t>
      </w:r>
      <w:r>
        <w:t xml:space="preserve"> predominan los clientes de recurrencia media; los muy frecuentes son un grupo pequeño que conviene retener.</w:t>
      </w:r>
    </w:p>
    <w:p>
      <w:pPr>
        <w:pStyle w:val="Heading2"/>
        <w:spacing w:after="100" w:before="180"/>
      </w:pPr>
      <w:r>
        <w:t xml:space="preserve">C. Variables continuas (histogramas y boxplots)</w:t>
      </w:r>
    </w:p>
    <w:p>
      <w:pPr>
        <w:spacing w:after="120"/>
      </w:pPr>
      <w:r>
        <w:t xml:space="preserve">En los histogramas se graficaron la media, ±1σ, ±3.5σ y la distribución normal teórica. En los boxplots se usó escala logarítmica cuando la asimetría es mayor a 2. El límite de outliers se calcula como Q3 + 1.5·IQR.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6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Resultados de histograma y boxplot</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$132.20, σ $88.84. El 50% central está entre $67.05 (Q1) y $173.80 (Q3); media &gt; mediana ($109.66), sesgo a la derecha. Outliers a partir de $333.93; 12,002 transacciones (0.50%) fuera de ±3.5σ. Máximo $1,033.92.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$10,871.76, σ $12,195.31. El 50% central está entre $2,654.40 y $14,675.08; mediana $6,718.08, fuerte sesgo a la derecha. Outliers a partir de $32,706.10; 34,833 registros (1.45%) fuera de ±3.5σ. Máximo $118,710.24.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15.69%, σ 9.64. El 50% central está entre 8.11% y 21.25%; mediana 12.01%. Outliers a partir de 40.96%; 22 registros (0.10%) fuera de ±3.5σ y 0 atípicos extremos (&gt; 3 IQR). Máximo 57.81%.</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289.35 días, σ 152.04. El 50% central está entre 165.30 y 383.27 días; mediana 266.59. Outliers a partir de 710.23 días; 93 registros (0.43%) fuera de ±3.5σ y 16 atípicos extremos (0.07%). Máximo 1,377.41 días.</w:t>
            </w:r>
          </w:p>
        </w:tc>
      </w:tr>
    </w:tbl>
    <w:p>
      <w:pPr>
        <w:pStyle w:val="Heading3"/>
        <w:spacing w:after="80" w:before="120"/>
      </w:pPr>
      <w:r>
        <w:t xml:space="preserve">Intervalos más frecuentes (histogramas con regla de Sturges)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760"/>
        <w:gridCol w:w="1900"/>
      </w:tblGrid>
      <w:tr>
        <w:trPr>
          <w:tblHeader/>
        </w:trPr>
        <w:tc>
          <w:tcPr>
            <w:tcW w:type="dxa" w:w="3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de intervalos</w:t>
            </w:r>
          </w:p>
        </w:tc>
        <w:tc>
          <w:tcPr>
            <w:tcW w:type="dxa" w:w="27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Intervalo más frecuente</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de los datos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$58.06 – $102.41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27.22%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$150.00 – $5,304.79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42.70%</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6.20% – 9.64%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120.02 – 203.85 días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w:t>
            </w:r>
          </w:p>
        </w:tc>
      </w:tr>
    </w:tbl>
    <w:p>
      <w:pPr>
        <w:pStyle w:val="Heading2"/>
        <w:spacing w:after="100" w:before="180"/>
      </w:pPr>
      <w:r>
        <w:t xml:space="preserve">D. Conclusión de histogramas y boxplots</w:t>
      </w:r>
    </w:p>
    <w:p>
      <w:pPr>
        <w:spacing w:after="120"/>
      </w:pPr>
      <w:r>
        <w:t xml:space="preserve">Ninguna variable continua sigue una distribución normal: en todas la media es mayor que la mediana (sesgo a la derecha), con la mayoría de los valores en la parte baja y una cola de valores altos. Los valores fuera de ±3.5σ son menos del 1.5% en todos los casos y corresponden a casos reales del negocio (compras grandes, clientes de alto valor, productos con muy baja rotación), por lo que no se eliminan.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de "Todos los datos" como referencia. En subcategory se aplicó la regla del 70% de las unidades vendidas.</w:t>
      </w:r>
    </w:p>
    <w:p>
      <w:pPr>
        <w:pStyle w:val="Heading2"/>
        <w:spacing w:after="100" w:before="180"/>
      </w:pPr>
      <w:r>
        <w:t xml:space="preserve">5.1 Nivel Macro (category, subcategory,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512.50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$30,778.03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33.29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109.31</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Monterrey</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318.00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$18,922.20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22.44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159.64</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Guadalajara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$13,795.21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17.41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201.38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Bajío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$8,110.71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11.40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294.69</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Noroeste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$5,706.37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8.70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364.66</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$4,567.57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364.08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$3,949.32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472.26</w:t>
            </w:r>
          </w:p>
        </w:tc>
      </w:tr>
    </w:tbl>
    <w:p>
      <w:pPr>
        <w:spacing w:after="120"/>
      </w:pPr>
      <w:r>
        <w:t xml:space="preserve">Medianas por registro mensual (producto-región-mes).</w:t>
      </w:r>
    </w:p>
    <w:p>
      <w:pPr>
        <w:pStyle w:val="ListParagraph"/>
        <w:numPr>
          <w:ilvl w:val="0"/>
          <w:numId w:val="2"/>
        </w:numPr>
        <w:spacing w:after="60"/>
      </w:pPr>
      <w:r>
        <w:rPr>
          <w:b/>
          <w:bCs/>
        </w:rPr>
        <w:t xml:space="preserve">region – units_sold y sales_amount:</w:t>
      </w:r>
      <w:r>
        <w:t xml:space="preserve"> jerarquía clara: Ciudad de México vende 7.6 veces más unidades que Sureste (mediana 512.5 vs. 67) y casi 8 veces más en monto. Outliers generales a partir de 593.5 unidades y $39,299.74 al mes.</w:t>
      </w:r>
    </w:p>
    <w:p>
      <w:pPr>
        <w:pStyle w:val="ListParagraph"/>
        <w:numPr>
          <w:ilvl w:val="0"/>
          <w:numId w:val="2"/>
        </w:numPr>
        <w:spacing w:after="60"/>
      </w:pPr>
      <w:r>
        <w:rPr>
          <w:b/>
          <w:bCs/>
        </w:rPr>
        <w:t xml:space="preserve">region – Cumplimiento_Venta_Esperada:</w:t>
      </w:r>
      <w:r>
        <w:t xml:space="preserve"> mismo orden: de 33.29% en Ciudad de México a 6.58% en Sureste. Outliers generales a partir de 40.97%.</w:t>
      </w:r>
    </w:p>
    <w:p>
      <w:pPr>
        <w:pStyle w:val="ListParagraph"/>
        <w:numPr>
          <w:ilvl w:val="0"/>
          <w:numId w:val="2"/>
        </w:numPr>
        <w:spacing w:after="60"/>
      </w:pPr>
      <w:r>
        <w:rPr>
          <w:b/>
          <w:bCs/>
        </w:rPr>
        <w:t xml:space="preserve">region – Dias_Cobertura_Inventario:</w:t>
      </w:r>
      <w:r>
        <w:t xml:space="preserve"> comportamiento inverso: de 109 días en Ciudad de México a 472 días en Sureste. Outliers generales a partir de 710.25 días (276 registros) y extremos a partir de 1,037.21 días (16 registros). </w:t>
      </w:r>
      <w:r>
        <w:rPr>
          <w:b/>
          <w:bCs/>
        </w:rPr>
        <w:t xml:space="preserve">Conclusión:</w:t>
      </w:r>
      <w:r>
        <w:t xml:space="preserve"> las regiones con menos venta reciben inventario proporcionalmente excesivo; conviene redistribuirlo hacia las zonas metropolitanas.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Casual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$8,659.83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253.27</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Fitness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$7,673.12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254.02</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$12,910.62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288.05</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Accessories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127.50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$6,900.57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270.53</w:t>
            </w:r>
          </w:p>
        </w:tc>
      </w:tr>
    </w:tbl>
    <w:p>
      <w:pPr>
        <w:pStyle w:val="ListParagraph"/>
        <w:numPr>
          <w:ilvl w:val="0"/>
          <w:numId w:val="2"/>
        </w:numPr>
        <w:spacing w:after="60"/>
      </w:pPr>
      <w:r>
        <w:rPr>
          <w:b/>
          <w:bCs/>
        </w:rPr>
        <w:t xml:space="preserve">category:</w:t>
      </w:r>
      <w:r>
        <w:t xml:space="preserve"> las diferencias son pequeñas. Casual Wear tiene la mediana más alta de unidades (155.5), pero Footwear genera más monto ($12,910.62) por su mayor precio; a la vez, Footwear tiene el menor cumplimiento (10.99%) y la mayor cobertura (288 días).</w:t>
      </w:r>
    </w:p>
    <w:p>
      <w:pPr>
        <w:pStyle w:val="ListParagraph"/>
        <w:numPr>
          <w:ilvl w:val="0"/>
          <w:numId w:val="2"/>
        </w:numPr>
        <w:spacing w:after="60"/>
      </w:pPr>
      <w:r>
        <w:rPr>
          <w:b/>
          <w:bCs/>
        </w:rPr>
        <w:t xml:space="preserve">subcategory (regla del 70% por unidades vendidas: Sneakers, Bottoms, Shirts, Pants, Dresses, Tops, Boots y Sandals; el resto en "Otras"):</w:t>
      </w:r>
      <w:r>
        <w:t xml:space="preserve"> Bottoms tiene la mediana más alta de unidades (165) y Boots la de monto ($19,624.73). Las subcategorías de mayor precio (Boots, Sneakers y Bags) tienen el menor cumplimiento (10.17–10.29%) y la mayor cobertura (305–312 días): son las que más sobrestock acumulan.</w:t>
      </w:r>
    </w:p>
    <w:p>
      <w:pPr>
        <w:pStyle w:val="Heading2"/>
        <w:spacing w:after="100" w:before="180"/>
      </w:pPr>
      <w:r>
        <w:t xml:space="preserve">5.2 Nivel Micro (6 cualitativas + Rango_Edad)</w:t>
      </w:r>
    </w:p>
    <w:p>
      <w:pPr>
        <w:spacing w:after="120"/>
      </w:pPr>
      <w:r>
        <w:t xml:space="preserve">Medianas por transacción. En todas las variables cualitativas, units_sold tiene mediana 2 y outliers a partir de 4 piezas (límite 3.5).</w:t>
      </w:r>
    </w:p>
    <w:p>
      <w:pPr>
        <w:pStyle w:val="ListParagraph"/>
        <w:numPr>
          <w:ilvl w:val="0"/>
          <w:numId w:val="2"/>
        </w:numPr>
        <w:spacing w:after="60"/>
      </w:pPr>
      <w:r>
        <w:rPr>
          <w:b/>
          <w:bCs/>
        </w:rPr>
        <w:t xml:space="preserve">category y subcategory:</w:t>
      </w:r>
      <w:r>
        <w:t xml:space="preserve"> solo cambia el monto por transacción, por el precio de cada producto: Footwear tiene mediana de $159.74 contra ~$90–92 del resto; por subcategoría va de $59.83 (Shirts) a $209.54 (Boots). La frecuencia (mediana 5) y el gasto anual (~$6,600–6,780) son iguales en todas.</w:t>
      </w:r>
    </w:p>
    <w:p>
      <w:pPr>
        <w:pStyle w:val="ListParagraph"/>
        <w:numPr>
          <w:ilvl w:val="0"/>
          <w:numId w:val="2"/>
        </w:numPr>
        <w:spacing w:after="60"/>
      </w:pPr>
      <w:r>
        <w:rPr>
          <w:b/>
          <w:bCs/>
        </w:rPr>
        <w:t xml:space="preserve">region:</w:t>
      </w:r>
      <w:r>
        <w:t xml:space="preserve"> el monto por transacción es igual en todas (~$108–110) y la frecuencia también (mediana 5). Cambia el gasto anual: Ciudad de México ($7,155.00) y Monterrey ($6,953.96) contra Sur ($5,960.64) y Bajío ($5,967.45).</w:t>
      </w:r>
    </w:p>
    <w:p>
      <w:pPr>
        <w:pStyle w:val="ListParagraph"/>
        <w:numPr>
          <w:ilvl w:val="0"/>
          <w:numId w:val="2"/>
        </w:numPr>
        <w:spacing w:after="60"/>
      </w:pPr>
      <w:r>
        <w:rPr>
          <w:b/>
          <w:bCs/>
        </w:rPr>
        <w:t xml:space="preserve">Client_Category:</w:t>
      </w:r>
      <w:r>
        <w:t xml:space="preserve"> gran diferencia en valor del cliente: la frecuencia anual mediana es 4 en Básico, 7 en Silver, 12 en Gold y 11 en Premium, y el gasto anual mediano es $2,938.50, $13,040.24, $38,239.08 y $57,971.16 respectivamente. El ticket por transacción casi no cambia ($105–120). El programa de lealtad sí separa a los clientes de mayor valor.</w:t>
      </w:r>
    </w:p>
    <w:p>
      <w:pPr>
        <w:pStyle w:val="ListParagraph"/>
        <w:numPr>
          <w:ilvl w:val="0"/>
          <w:numId w:val="2"/>
        </w:numPr>
        <w:spacing w:after="60"/>
      </w:pPr>
      <w:r>
        <w:rPr>
          <w:b/>
          <w:bCs/>
        </w:rPr>
        <w:t xml:space="preserve">Preferred_Channel:</w:t>
      </w:r>
      <w:r>
        <w:t xml:space="preserve"> sin diferencias relevantes: App, Online y Tienda física tienen mediana de 5 compras al año, ~$110 por transacción y ~$6,600–6,810 de gasto anual.</w:t>
      </w:r>
    </w:p>
    <w:p>
      <w:pPr>
        <w:pStyle w:val="ListParagraph"/>
        <w:numPr>
          <w:ilvl w:val="0"/>
          <w:numId w:val="2"/>
        </w:numPr>
        <w:spacing w:after="60"/>
      </w:pPr>
      <w:r>
        <w:rPr>
          <w:b/>
          <w:bCs/>
        </w:rPr>
        <w:t xml:space="preserve">Socioeconomic_Level – units_sold:</w:t>
      </w:r>
      <w:r>
        <w:t xml:space="preserve"> sin diferencias: en todos los niveles la caja va de 1 a 2 piezas, con outliers en 4, 5 y 6 piezas.</w:t>
      </w:r>
    </w:p>
    <w:p>
      <w:pPr>
        <w:pStyle w:val="ListParagraph"/>
        <w:numPr>
          <w:ilvl w:val="0"/>
          <w:numId w:val="2"/>
        </w:numPr>
        <w:spacing w:after="60"/>
      </w:pPr>
      <w:r>
        <w:rPr>
          <w:b/>
          <w:bCs/>
        </w:rPr>
        <w:t xml:space="preserve">Socioeconomic_Level – Annual_Purchase_Frequency:</w:t>
      </w:r>
      <w:r>
        <w:t xml:space="preserve"> la mediana aumenta en cada nivel: 3 compras al año en Bajo, 4 en Medio-Bajo, 7 en Medio, 9 en Medio-Alto y 12 en Alto. Todos los niveles tienen outliers en la parte alta.</w:t>
      </w:r>
    </w:p>
    <w:p>
      <w:pPr>
        <w:pStyle w:val="ListParagraph"/>
        <w:numPr>
          <w:ilvl w:val="0"/>
          <w:numId w:val="2"/>
        </w:numPr>
        <w:spacing w:after="60"/>
      </w:pPr>
      <w:r>
        <w:rPr>
          <w:b/>
          <w:bCs/>
        </w:rPr>
        <w:t xml:space="preserve">Socioeconomic_Level – sales_amount:</w:t>
      </w:r>
      <w:r>
        <w:t xml:space="preserve"> el ticket por transacción es muy similar: mediana de $103.06 en Bajo a $119.94 en Alto. Outliers en todos los niveles; el límite general es $333.93.</w:t>
      </w:r>
    </w:p>
    <w:p>
      <w:pPr>
        <w:pStyle w:val="ListParagraph"/>
        <w:numPr>
          <w:ilvl w:val="0"/>
          <w:numId w:val="2"/>
        </w:numPr>
        <w:spacing w:after="60"/>
      </w:pPr>
      <w:r>
        <w:rPr>
          <w:b/>
          <w:bCs/>
        </w:rPr>
        <w:t xml:space="preserve">Socioeconomic_Level – Annual_Total_Spend (escala log):</w:t>
      </w:r>
      <w:r>
        <w:t xml:space="preserve"> fuerte gradiente: mediana de $1,769.32 en Bajo, $4,804.98 en Medio-Bajo, $12,001.62 en Medio, $21,154.40 en Medio-Alto y $41,275.52 en Alto (23 veces más que Bajo). </w:t>
      </w:r>
      <w:r>
        <w:rPr>
          <w:b/>
          <w:bCs/>
        </w:rPr>
        <w:t xml:space="preserve">Conclusión:</w:t>
      </w:r>
      <w:r>
        <w:t xml:space="preserve"> los clientes de nivel alto no gastan mucho más por compra, sino que compran con mayor frecuencia.</w:t>
      </w:r>
    </w:p>
    <w:p>
      <w:pPr>
        <w:pStyle w:val="ListParagraph"/>
        <w:numPr>
          <w:ilvl w:val="0"/>
          <w:numId w:val="2"/>
        </w:numPr>
        <w:spacing w:after="60"/>
      </w:pPr>
      <w:r>
        <w:rPr>
          <w:b/>
          <w:bCs/>
        </w:rPr>
        <w:t xml:space="preserve">Rango_Edad:</w:t>
      </w:r>
      <w:r>
        <w:t xml:space="preserve"> las cuatro variables tienen distribuciones prácticamente iguales: mediana de 2 piezas y 5 compras al año en todos los rangos, ticket mediano de $109.38 a $110.16 y gasto anual mediano de $6,566.55 a $6,838.72. Todos presentan outliers de sales_amount por arriba de $333.93. </w:t>
      </w:r>
      <w:r>
        <w:rPr>
          <w:b/>
          <w:bCs/>
        </w:rPr>
        <w:t xml:space="preserve">La edad no diferencia el comportamiento de compra.</w:t>
      </w:r>
    </w:p>
    <w:p>
      <w:pPr>
        <w:pStyle w:val="Heading2"/>
        <w:spacing w:after="100" w:before="180"/>
      </w:pPr>
      <w:r>
        <w:t xml:space="preserve">Análisis adicional: Stock vs. Esperado vs. Vendido</w:t>
      </w:r>
    </w:p>
    <w:p>
      <w:pPr>
        <w:pStyle w:val="ListParagraph"/>
        <w:numPr>
          <w:ilvl w:val="0"/>
          <w:numId w:val="2"/>
        </w:numPr>
        <w:spacing w:after="60"/>
      </w:pPr>
      <w:r>
        <w:t xml:space="preserve">Se venden entre 160,918 (febrero 2024) y 231,237 (diciembre 2025) unidades al mes, contra una demanda esperada de 1.07 a 1.16 millones: el cumplimiento mensual va de 14.15% a 21.28% (17.49% en promedio en 2024 y 16.49% en 2025).</w:t>
      </w:r>
    </w:p>
    <w:p>
      <w:pPr>
        <w:pStyle w:val="ListParagraph"/>
        <w:numPr>
          <w:ilvl w:val="0"/>
          <w:numId w:val="2"/>
        </w:numPr>
        <w:spacing w:after="60"/>
      </w:pPr>
      <w:r>
        <w:t xml:space="preserve">El stock es mayor que la demanda esperada en todos los meses, entre 110.05% y 112.28% de lo esperado.</w:t>
      </w:r>
    </w:p>
    <w:p>
      <w:pPr>
        <w:pStyle w:val="ListParagraph"/>
        <w:numPr>
          <w:ilvl w:val="0"/>
          <w:numId w:val="2"/>
        </w:numPr>
        <w:spacing w:after="60"/>
      </w:pPr>
      <w:r>
        <w:t xml:space="preserve">De 2024 a 2025 la demanda esperada mensual promedio subió 6.35% (de 1,078,219 a 1,146,720 unidades) y el stock 6.26%, pero las ventas solo 0.29% (de 188,592 a 189,143).</w:t>
      </w:r>
    </w:p>
    <w:p>
      <w:pPr>
        <w:pStyle w:val="ListParagraph"/>
        <w:numPr>
          <w:ilvl w:val="0"/>
          <w:numId w:val="2"/>
        </w:numPr>
        <w:spacing w:after="60"/>
      </w:pPr>
      <w:r>
        <w:t xml:space="preserve">Las ventas tienen estacionalidad: picos en noviembre y diciembre (~230 mil unidades, 20–21% de cumplimiento) y mínimo en febrero (~161 mil), mientras que la demanda esperada se mantiene casi plana.</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excepto units_sold del nivel micro,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12.01%: la mitad de los registros mensuales vende menos del 12% de lo esperado.</w:t>
      </w:r>
    </w:p>
    <w:p>
      <w:pPr>
        <w:pStyle w:val="ListParagraph"/>
        <w:numPr>
          <w:ilvl w:val="0"/>
          <w:numId w:val="2"/>
        </w:numPr>
        <w:spacing w:after="60"/>
      </w:pPr>
      <w:r>
        <w:t xml:space="preserve">La cobertura mediana de 266.59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los valores fuera de ±3.5σ son menos del 1.5% de los datos.</w:t>
      </w:r>
    </w:p>
    <w:p>
      <w:pPr>
        <w:pStyle w:val="ListParagraph"/>
        <w:numPr>
          <w:ilvl w:val="0"/>
          <w:numId w:val="2"/>
        </w:numPr>
        <w:spacing w:after="60"/>
      </w:pPr>
      <w:r>
        <w:t xml:space="preserve">La canasta típica es de 1–2 piezas (80.99% de las transacciones) y el ticket mediano es de $109.66.</w:t>
      </w:r>
    </w:p>
    <w:p>
      <w:pPr>
        <w:pStyle w:val="ListParagraph"/>
        <w:numPr>
          <w:ilvl w:val="0"/>
          <w:numId w:val="2"/>
        </w:numPr>
        <w:spacing w:after="60"/>
      </w:pPr>
      <w:r>
        <w:t xml:space="preserve">DanuStore solo vende en promedio el 15.69% de las unidades esperadas y su inventario cubre en promedio 289 días: existe una sobreestimación sistemática de la demanda.</w:t>
      </w:r>
    </w:p>
    <w:p>
      <w:pPr>
        <w:pStyle w:val="ListParagraph"/>
        <w:numPr>
          <w:ilvl w:val="0"/>
          <w:numId w:val="2"/>
        </w:numPr>
        <w:spacing w:after="60"/>
      </w:pPr>
      <w:r>
        <w:t xml:space="preserve">Ciudad de México, Monterrey y Guadalajara concentran el 73.64% de las transacciones y tienen el mejor cumplimiento (33.29%, 22.44% y 17.41%); Sureste solo cumple el 6.58% y su inventario cubre 472 días.</w:t>
      </w:r>
    </w:p>
    <w:p>
      <w:pPr>
        <w:pStyle w:val="ListParagraph"/>
        <w:numPr>
          <w:ilvl w:val="0"/>
          <w:numId w:val="2"/>
        </w:numPr>
        <w:spacing w:after="60"/>
      </w:pPr>
      <w:r>
        <w:t xml:space="preserve">El 92.36% de las transacciones son de clientes Básico y Silver; el programa de lealtad tiene poca penetración en Gold y Premium.</w:t>
      </w:r>
    </w:p>
    <w:p>
      <w:pPr>
        <w:pStyle w:val="ListParagraph"/>
        <w:numPr>
          <w:ilvl w:val="0"/>
          <w:numId w:val="2"/>
        </w:numPr>
        <w:spacing w:after="60"/>
      </w:pPr>
      <w:r>
        <w:t xml:space="preserve">El nivel socioeconómico es el principal diferenciador del valor del cliente: el gasto anual mediano sube de $1,769.32 (Bajo) a $41,275.52 (Alto) por mayor frecuencia de compra (3 vs. 12 compras al año), no por un ticket más alto.</w:t>
      </w:r>
    </w:p>
    <w:p>
      <w:pPr>
        <w:pStyle w:val="ListParagraph"/>
        <w:numPr>
          <w:ilvl w:val="0"/>
          <w:numId w:val="2"/>
        </w:numPr>
        <w:spacing w:after="60"/>
      </w:pPr>
      <w:r>
        <w:t xml:space="preserve">El 61.95% de los clientes tiene entre 25 y 54 años; el rango 35-44 es el que más vende (22.99%), pero la edad no cambia el comportamiento: todos los rangos gastan ~$7,000 por cliente.</w:t>
      </w:r>
    </w:p>
    <w:p>
      <w:pPr>
        <w:pStyle w:val="ListParagraph"/>
        <w:numPr>
          <w:ilvl w:val="0"/>
          <w:numId w:val="2"/>
        </w:numPr>
        <w:spacing w:after="60"/>
      </w:pPr>
      <w:r>
        <w:t xml:space="preserve">El programa de lealtad sí distingue a los clientes de mayor valor: el gasto anual mediano va de $2,938.50 (Básico) a $57,971.16 (Premium).</w:t>
      </w:r>
    </w:p>
    <w:p>
      <w:pPr>
        <w:pStyle w:val="ListParagraph"/>
        <w:numPr>
          <w:ilvl w:val="0"/>
          <w:numId w:val="2"/>
        </w:numPr>
        <w:spacing w:after="60"/>
      </w:pPr>
      <w:r>
        <w:t xml:space="preserve">En 2025 la proyección y el stock subieron ~6.3% mientras las ventas solo 0.29%;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2026-10-04T20:18:26.046Z</dcterms:created>
  <dcterms:modified xsi:type="dcterms:W3CDTF">2026-10-04T20:18:26.047Z</dcterms:modified>
</cp:coreProperties>
</file>

<file path=docProps/custom.xml><?xml version="1.0" encoding="utf-8"?>
<Properties xmlns="http://schemas.openxmlformats.org/officeDocument/2006/custom-properties" xmlns:vt="http://schemas.openxmlformats.org/officeDocument/2006/docPropsVTypes"/>
</file>