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  <w:r>
        <w:t xml:space="preserve"> </w:t>
      </w:r>
      <w:r>
        <w:t xml:space="preserve">-</w:t>
      </w:r>
      <w:r>
        <w:t xml:space="preserve"> </w:t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Патачона,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ние-работы"/>
    <w:p>
      <w:pPr>
        <w:pStyle w:val="Heading1"/>
      </w:pPr>
      <w:r>
        <w:t xml:space="preserve">Цель и задание работы</w:t>
      </w:r>
    </w:p>
    <w:p>
      <w:pPr>
        <w:pStyle w:val="FirstParagraph"/>
      </w:pPr>
      <w:r>
        <w:rPr>
          <w:iCs/>
          <w:i/>
          <w:bCs/>
          <w:b/>
        </w:rPr>
        <w:t xml:space="preserve">Цель</w:t>
      </w:r>
    </w:p>
    <w:p>
      <w:pPr>
        <w:pStyle w:val="BodyText"/>
      </w:pPr>
      <w:r>
        <w:t xml:space="preserve">Научиться дискретному логарифмированию в конечном поле</w:t>
      </w:r>
    </w:p>
    <w:p>
      <w:pPr>
        <w:pStyle w:val="BodyText"/>
      </w:pPr>
      <w:r>
        <w:rPr>
          <w:iCs/>
          <w:i/>
          <w:bCs/>
          <w:b/>
        </w:rPr>
        <w:t xml:space="preserve">Задания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программно.</w:t>
      </w:r>
    </w:p>
    <w:p>
      <w:pPr>
        <w:numPr>
          <w:ilvl w:val="0"/>
          <w:numId w:val="1001"/>
        </w:numPr>
        <w:pStyle w:val="Compact"/>
      </w:pPr>
      <w:r>
        <w:t xml:space="preserve">Получить у преподавателя задание, содержащее числа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и вычислить логарифм.</w:t>
      </w:r>
    </w:p>
    <w:bookmarkEnd w:id="20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1" w:name="теоретическая-часть"/>
    <w:p>
      <w:pPr>
        <w:pStyle w:val="Heading2"/>
      </w:pPr>
      <w:r>
        <w:t xml:space="preserve">Теоретическая часть</w:t>
      </w:r>
    </w:p>
    <w:p>
      <w:pPr>
        <w:pStyle w:val="FirstParagraph"/>
      </w:pPr>
      <w:r>
        <w:t xml:space="preserve">Задача дискретного логарифмирования, как и задача разложения на множители, применяется во многих алгоритмах криптографии с открытым ключом. Предложенная в 1976 году У. Диффи и М.Хеллманом для установления сеансового ключа, та задача послужила основой для создания протоколов шифрования и цифровой подписи, доказательств с нулсным разглашением и других криптографических протоколов.</w:t>
      </w:r>
    </w:p>
    <w:p>
      <w:pPr>
        <w:pStyle w:val="BodyText"/>
      </w:pPr>
      <w:r>
        <w:t xml:space="preserve">Пусть над некоторым множеством Ω произвольной природы определены операции сложения</w:t>
      </w:r>
      <w:r>
        <w:t xml:space="preserve"> </w:t>
      </w:r>
      <m:oMath>
        <m:r>
          <m:rPr>
            <m:sty m:val="p"/>
          </m:rPr>
          <m:t>«</m:t>
        </m:r>
        <m:r>
          <m:rPr>
            <m:sty m:val="p"/>
          </m:rPr>
          <m:t>+</m:t>
        </m:r>
        <m:r>
          <m:rPr>
            <m:sty m:val="p"/>
          </m:rPr>
          <m:t>»</m:t>
        </m:r>
      </m:oMath>
      <w:r>
        <w:t xml:space="preserve"> </w:t>
      </w:r>
      <w:r>
        <w:t xml:space="preserve">и умножения</w:t>
      </w:r>
      <w:r>
        <w:t xml:space="preserve"> </w:t>
      </w:r>
      <m:oMath>
        <m:r>
          <m:rPr>
            <m:sty m:val="p"/>
          </m:rPr>
          <m:t>«</m:t>
        </m:r>
        <m:r>
          <m:rPr>
            <m:sty m:val="p"/>
          </m:rPr>
          <m:t>.</m:t>
        </m:r>
        <m:r>
          <m:rPr>
            <m:sty m:val="p"/>
          </m:rPr>
          <m:t>»</m:t>
        </m:r>
      </m:oMath>
      <w:r>
        <w:t xml:space="preserve">. Множество Ω называется кольцом если выполняются следующие условия:</w:t>
      </w:r>
      <w:r>
        <w:t xml:space="preserve"> </w:t>
      </w:r>
      <w:r>
        <w:t xml:space="preserve">1. Сложение коммутативно: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  <w:r>
        <w:t xml:space="preserve"> </w:t>
      </w:r>
      <w:r>
        <w:t xml:space="preserve">2. Сложение ассоциативно: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  <w:r>
        <w:t xml:space="preserve"> </w:t>
      </w:r>
      <w:r>
        <w:t xml:space="preserve">3. Существует нулевой элемент</w:t>
      </w:r>
      <w:r>
        <w:t xml:space="preserve"> </w:t>
      </w:r>
      <m:oMath>
        <m:r>
          <m:t>0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для любого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;</w:t>
      </w:r>
      <w:r>
        <w:t xml:space="preserve"> </w:t>
      </w:r>
      <w:r>
        <w:t xml:space="preserve">4. Для каждого элемента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существует противоположный элемент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w:r>
        <w:t xml:space="preserve">5. Умножение дистрибутивно относительно сложения: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.</m:t>
          </m:r>
          <m:r>
            <m:rPr>
              <m:sty m:val="p"/>
            </m:rPr>
            <m:t>(</m:t>
          </m:r>
          <m:r>
            <m:t>b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.</m:t>
          </m:r>
          <m:r>
            <m:t>b</m:t>
          </m:r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.</m:t>
          </m:r>
          <m:r>
            <m:t>c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  <m:r>
            <m:t>c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.</m:t>
          </m:r>
          <m:r>
            <m:t>c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.</m:t>
          </m:r>
          <m:r>
            <m:t>c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.</w:t>
      </w:r>
    </w:p>
    <w:p>
      <w:pPr>
        <w:pStyle w:val="BodyText"/>
      </w:pPr>
      <w:r>
        <w:t xml:space="preserve">Если в кольце Ω умножение коммутативно:</w:t>
      </w:r>
      <w:r>
        <w:t xml:space="preserve"> </w:t>
      </w:r>
      <m:oMath>
        <m:r>
          <m:t>a</m:t>
        </m:r>
        <m:r>
          <m:rPr>
            <m:sty m:val="p"/>
          </m:rPr>
          <m:t>.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.</m:t>
        </m:r>
        <m:r>
          <m:t>a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коммунтативным</w:t>
      </w:r>
      <w:r>
        <w:t xml:space="preserve">.</w:t>
      </w:r>
    </w:p>
    <w:p>
      <w:pPr>
        <w:pStyle w:val="BodyText"/>
      </w:pPr>
      <w:r>
        <w:t xml:space="preserve">Если в колые Ω умножение ассоциативно: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.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.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.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.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ассоциативным</w:t>
      </w:r>
      <w:r>
        <w:t xml:space="preserve">.</w:t>
      </w:r>
    </w:p>
    <w:p>
      <w:pPr>
        <w:pStyle w:val="BodyText"/>
      </w:pPr>
      <w:r>
        <w:t xml:space="preserve">Если в кольце Ω существует единичный элемент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r>
          <m:t>a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.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для любого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Ω</m:t>
        </m:r>
      </m:oMath>
      <w:r>
        <w:t xml:space="preserve">, то кольцо называется кольцом с единицей.</w:t>
      </w:r>
    </w:p>
    <w:p>
      <w:pPr>
        <w:pStyle w:val="BodyText"/>
      </w:pPr>
      <w:r>
        <w:t xml:space="preserve">Если в ассоциативном, коммутативном кольце с единицей для каждого</w:t>
      </w:r>
      <w:r>
        <w:t xml:space="preserve"> </w:t>
      </w:r>
      <w:r>
        <w:t xml:space="preserve">ненулевого элемента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существует обратный элемент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такой, что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.</m:t>
        </m:r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.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, то кольцо называется</w:t>
      </w:r>
      <w:r>
        <w:t xml:space="preserve"> </w:t>
      </w:r>
      <w:r>
        <w:rPr>
          <w:iCs/>
          <w:i/>
        </w:rPr>
        <w:t xml:space="preserve">полем</w:t>
      </w:r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Cs/>
          <w:i/>
        </w:rPr>
        <w:t xml:space="preserve">сравнимыми по модулю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)), если разность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Некоторые свойства отношения сравнимости: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Рефлексивность: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a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Симметричность:</w:t>
      </w:r>
      <w:r>
        <w:t xml:space="preserve"> </w:t>
      </w: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), то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a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Транзитивность:</w:t>
      </w:r>
      <w:r>
        <w:t xml:space="preserve"> </w:t>
      </w: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 и</w:t>
      </w:r>
      <w:r>
        <w:t xml:space="preserve"> </w:t>
      </w:r>
      <m:oMath>
        <m:r>
          <m:t>b</m:t>
        </m:r>
        <m:r>
          <m:rPr>
            <m:sty m:val="p"/>
          </m:rPr>
          <m:t>≡</m:t>
        </m:r>
        <m:r>
          <m:t>c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c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).</w:t>
      </w:r>
    </w:p>
    <w:p>
      <w:pPr>
        <w:pStyle w:val="FirstParagraph"/>
      </w:pPr>
      <w:r>
        <w:t xml:space="preserve">Отношение, обладающее свойством рефлексивности, симметричности и</w:t>
      </w:r>
      <w:r>
        <w:t xml:space="preserve"> </w:t>
      </w:r>
      <w:r>
        <w:t xml:space="preserve">транитимности, называется</w:t>
      </w:r>
      <w:r>
        <w:t xml:space="preserve"> </w:t>
      </w:r>
      <w:r>
        <w:rPr>
          <w:iCs/>
          <w:i/>
        </w:rPr>
        <w:t xml:space="preserve">отношением эквивалентности</w:t>
      </w:r>
      <w:r>
        <w:t xml:space="preserve">. Отношение</w:t>
      </w:r>
      <w:r>
        <w:t xml:space="preserve"> </w:t>
      </w:r>
      <w:r>
        <w:t xml:space="preserve">сравнимости является отношением эквивалентности на множестве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целых чисел.</w:t>
      </w:r>
    </w:p>
    <w:p>
      <w:pPr>
        <w:pStyle w:val="BodyText"/>
      </w:pPr>
      <w:r>
        <w:t xml:space="preserve">Отношение эквивалентности разбивает множество, на котором оно определено, на</w:t>
      </w:r>
      <w:r>
        <w:t xml:space="preserve"> </w:t>
      </w:r>
      <w:r>
        <w:rPr>
          <w:iCs/>
          <w:i/>
        </w:rPr>
        <w:t xml:space="preserve">классы эквивалентности</w:t>
      </w:r>
      <w:r>
        <w:t xml:space="preserve">. Любые два класса эквивалентности либо не пересекаются, либо совпадают.</w:t>
      </w:r>
    </w:p>
    <w:p>
      <w:pPr>
        <w:pStyle w:val="BodyText"/>
      </w:pPr>
      <w:r>
        <w:t xml:space="preserve">Классы эквивалентности, определяемые отношением сравнимости, называются</w:t>
      </w:r>
      <w:r>
        <w:t xml:space="preserve"> </w:t>
      </w:r>
      <w:r>
        <w:rPr>
          <w:iCs/>
          <w:i/>
        </w:rPr>
        <w:t xml:space="preserve">классами вычетов по модулю m</w:t>
      </w:r>
      <w:r>
        <w:t xml:space="preserve">. Класс вычетов, содержащий число</w:t>
      </w:r>
      <w:r>
        <w:t xml:space="preserve"> </w:t>
      </w:r>
      <m:oMath>
        <m:r>
          <m:t>a</m:t>
        </m:r>
      </m:oMath>
      <w:r>
        <w:t xml:space="preserve">, обозначается</w:t>
      </w:r>
      <w:r>
        <w:t xml:space="preserve"> </w:t>
      </w:r>
      <m:oMath>
        <m:r>
          <m:t>a</m:t>
        </m:r>
      </m:oMath>
      <w:r>
        <w:rPr>
          <w:iCs/>
          <w:i/>
        </w:rPr>
        <w:t xml:space="preserve">(mod m)</w:t>
      </w:r>
      <w:r>
        <w:t xml:space="preserve"> </w:t>
      </w:r>
      <w:r>
        <w:t xml:space="preserve">и представляет собой множество чисел вида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k</m:t>
        </m:r>
        <m:r>
          <m:t>m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t>Z</m:t>
        </m:r>
      </m:oMath>
      <w:r>
        <w:t xml:space="preserve">: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 представителем этого класса вычетов.</w:t>
      </w:r>
    </w:p>
    <w:p>
      <w:pPr>
        <w:pStyle w:val="BodyText"/>
      </w:pPr>
      <w:r>
        <w:t xml:space="preserve">Множество классов вычетов по модулю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обозначается</w:t>
      </w:r>
      <w:r>
        <w:t xml:space="preserve"> </w:t>
      </w:r>
      <m:oMath>
        <m:r>
          <m:t>Z</m:t>
        </m:r>
        <m:r>
          <m:rPr>
            <m:sty m:val="p"/>
          </m:rPr>
          <m:t>/</m:t>
        </m:r>
        <m:r>
          <m:t>m</m:t>
        </m:r>
        <m:r>
          <m:t>Z</m:t>
        </m:r>
      </m:oMath>
      <w:r>
        <w:t xml:space="preserve">, состоит</w:t>
      </w:r>
      <w:r>
        <w:t xml:space="preserve"> </w:t>
      </w:r>
      <w:r>
        <w:t xml:space="preserve">ровно из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элементов и относительно операций сложения и умножения является</w:t>
      </w:r>
      <w:r>
        <w:t xml:space="preserve"> </w:t>
      </w:r>
      <w:r>
        <w:rPr>
          <w:iCs/>
          <w:i/>
        </w:rPr>
        <w:t xml:space="preserve">кольцом классов вычетов по модулю т</w:t>
      </w:r>
      <w:r>
        <w:t xml:space="preserve">.</w:t>
      </w:r>
    </w:p>
    <w:p>
      <w:pPr>
        <w:pStyle w:val="BodyText"/>
      </w:pPr>
      <w:r>
        <w:t xml:space="preserve">Пример. Если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, то</w:t>
      </w:r>
      <w:r>
        <w:t xml:space="preserve"> </w:t>
      </w:r>
      <m:oMath>
        <m:r>
          <m:t>Z</m:t>
        </m:r>
        <m:r>
          <m:rPr>
            <m:sty m:val="p"/>
          </m:rPr>
          <m:t>/</m:t>
        </m:r>
        <m:r>
          <m:t>2</m:t>
        </m:r>
        <m:r>
          <m:t>Z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= {0 (mod 2), 1 (mod 2))</w:t>
      </w:r>
      <w:r>
        <w:t xml:space="preserve">, где</w:t>
      </w:r>
      <w:r>
        <w:t xml:space="preserve"> </w:t>
      </w:r>
      <w:r>
        <w:rPr>
          <w:iCs/>
          <w:i/>
        </w:rPr>
        <w:t xml:space="preserve">0 (mod 2) =</w:t>
      </w:r>
      <w:r>
        <w:rPr>
          <w:iCs/>
          <w:i/>
        </w:rPr>
        <w:t xml:space="preserve"> </w:t>
      </w:r>
      <m:oMath>
        <m:r>
          <m:t>2</m:t>
        </m:r>
        <m:r>
          <m:t>Z</m:t>
        </m:r>
      </m:oMath>
      <w:r>
        <w:t xml:space="preserve"> </w:t>
      </w:r>
      <w:r>
        <w:t xml:space="preserve">множество всех четных чисел,</w:t>
      </w:r>
      <w:r>
        <w:t xml:space="preserve"> </w:t>
      </w:r>
      <w:r>
        <w:rPr>
          <w:iCs/>
          <w:i/>
        </w:rPr>
        <w:t xml:space="preserve">1 (mod 2)</w:t>
      </w:r>
      <w:r>
        <w:rPr>
          <w:iCs/>
          <w:i/>
        </w:rPr>
        <w:t xml:space="preserve"> </w:t>
      </w:r>
      <m:oMath>
        <m:r>
          <m:rPr>
            <m:sty m:val="p"/>
          </m:rPr>
          <m:t>=</m:t>
        </m:r>
        <m:r>
          <m:t>2</m:t>
        </m:r>
        <m:r>
          <m:t>Z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множество всех нечетных чисел.</w:t>
      </w:r>
    </w:p>
    <w:p>
      <w:pPr>
        <w:pStyle w:val="BodyText"/>
      </w:pPr>
      <w:r>
        <w:t xml:space="preserve">Обозначим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Z</m:t>
        </m:r>
        <m:r>
          <m:rPr>
            <m:sty m:val="p"/>
          </m:rPr>
          <m:t>/</m:t>
        </m:r>
        <m:r>
          <m:t>p</m:t>
        </m:r>
        <m:r>
          <m:t>Z</m:t>
        </m:r>
      </m:oMath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 </w:t>
      </w:r>
      <w:r>
        <w:t xml:space="preserve">простое целое число и назовем конечным полем 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элементов. Задача дискретного логарифмирования в конечном поле формулируется так: для данных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p</m:t>
        </m:r>
      </m:oMath>
      <w:r>
        <w:t xml:space="preserve">, найти логарифм - такое целое число</w:t>
      </w:r>
      <w:r>
        <w:t xml:space="preserve"> </w:t>
      </w:r>
      <m:oMath>
        <m:r>
          <m:t>x</m:t>
        </m:r>
      </m:oMath>
      <w:r>
        <w:t xml:space="preserve">, что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</m:oMath>
      <w:r>
        <w:t xml:space="preserve">(</w:t>
      </w:r>
      <w:r>
        <w:rPr>
          <w:iCs/>
          <w:i/>
        </w:rPr>
        <w:t xml:space="preserve">mod m</w:t>
      </w:r>
      <w:r>
        <w:t xml:space="preserve">) (если такое число существует). По аналогии с вещественными числами используется обозначение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b</m:t>
        </m:r>
      </m:oMath>
      <w:r>
        <w:t xml:space="preserve">.</w:t>
      </w:r>
    </w:p>
    <w:p>
      <w:pPr>
        <w:pStyle w:val="BodyText"/>
      </w:pPr>
      <w:r>
        <w:t xml:space="preserve">Безопасность соответствующих криптосистем основана на том, что зная</w:t>
      </w:r>
      <w:r>
        <w:t xml:space="preserve"> </w:t>
      </w:r>
      <w:r>
        <w:t xml:space="preserve">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p</m:t>
        </m:r>
      </m:oMath>
      <w:r>
        <w:t xml:space="preserve">, вычислить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</m:oMath>
      <w:r>
        <w:rPr>
          <w:iCs/>
          <w:i/>
        </w:rPr>
        <w:t xml:space="preserve">(mod p)</w:t>
      </w:r>
      <w:r>
        <w:t xml:space="preserve"> </w:t>
      </w:r>
      <w:r>
        <w:t xml:space="preserve">легко, а решит задачу дискретного логарифмирования трудно. Рассмотрим р-Метод Полларда, который можно применить и для задач дискретного логарифмирования. При этом случайное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должно обладать не только сжимающими свойствами, но и вычислимостью логарифма (логарифм числа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можно выразить через неизвестный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  <w:r>
        <w:t xml:space="preserve">). Для дискретного логарифмирования в качестве случайного отображения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чаще всего используются ветвящиеся отображения, например: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c</m:t>
                    </m:r>
                  </m:e>
                  <m:e>
                    <m:r>
                      <m:rPr>
                        <m:nor/>
                        <m:sty m:val="p"/>
                      </m:rPr>
                      <m:t>при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b</m:t>
                    </m:r>
                    <m:r>
                      <m:t>c</m:t>
                    </m:r>
                  </m:e>
                  <m:e>
                    <m:r>
                      <m:rPr>
                        <m:nor/>
                        <m:sty m:val="p"/>
                      </m:rPr>
                      <m:t>при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&gt;</m:t>
                    </m:r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имеем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1</m:t>
        </m:r>
      </m:oMath>
      <w:r>
        <w:t xml:space="preserve">, при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p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c</m:t>
        </m:r>
        <m:r>
          <m:rPr>
            <m:sty m:val="p"/>
          </m:rPr>
          <m:t>+</m:t>
        </m:r>
        <m:r>
          <m:t>1</m:t>
        </m:r>
      </m:oMath>
    </w:p>
    <w:bookmarkEnd w:id="21"/>
    <w:bookmarkStart w:id="28" w:name="X5b9db176fc1f3f0e78411a371491cf57d2cb521"/>
    <w:p>
      <w:pPr>
        <w:pStyle w:val="Heading2"/>
      </w:pPr>
      <w:r>
        <w:t xml:space="preserve">Алгоритм, реализующий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Метод Полларда для задач дискретного логарифмирования.</w:t>
      </w:r>
    </w:p>
    <w:p>
      <w:pPr>
        <w:pStyle w:val="FirstParagraph"/>
      </w:pPr>
      <w:r>
        <w:rPr>
          <w:iCs/>
          <w:i/>
        </w:rPr>
        <w:t xml:space="preserve">Вход.</w:t>
      </w:r>
      <w:r>
        <w:t xml:space="preserve"> </w:t>
      </w:r>
      <w:r>
        <w:t xml:space="preserve">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pStyle w:val="BodyText"/>
      </w:pPr>
      <w:r>
        <w:rPr>
          <w:iCs/>
          <w:i/>
        </w:rPr>
        <w:t xml:space="preserve">Выход.</w:t>
      </w:r>
      <w:r>
        <w:t xml:space="preserve"> </w:t>
      </w:r>
      <w:r>
        <w:t xml:space="preserve">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</m:oMath>
      <w:r>
        <w:rPr>
          <w:iCs/>
          <w:i/>
        </w:rPr>
        <w:t xml:space="preserve">(mod p)</w:t>
      </w:r>
      <w:r>
        <w:t xml:space="preserve">, если такой показатель существует.</w:t>
      </w:r>
      <w:r>
        <w:t xml:space="preserve"> </w:t>
      </w:r>
      <w:r>
        <w:t xml:space="preserve">1. 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</m:oMath>
      <w:r>
        <w:rPr>
          <w:iCs/>
          <w:i/>
        </w:rPr>
        <w:t xml:space="preserve">(mod p)</w:t>
      </w:r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c</m:t>
        </m:r>
      </m:oMath>
      <w:r>
        <w:t xml:space="preserve"> </w:t>
      </w:r>
      <w:r>
        <w:t xml:space="preserve">2. 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  <w:r>
        <w:rPr>
          <w:iCs/>
          <w:i/>
        </w:rPr>
        <w:t xml:space="preserve">(mod p)</w:t>
      </w:r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rPr>
          <w:iCs/>
          <w:i/>
        </w:rPr>
        <w:t xml:space="preserve">(mod p)</w:t>
      </w:r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</m:oMath>
      <w:r>
        <w:rPr>
          <w:iCs/>
          <w:i/>
        </w:rPr>
        <w:t xml:space="preserve">(mod p)</w:t>
      </w:r>
      <w:r>
        <w:t xml:space="preserve">.</w:t>
      </w:r>
      <w:r>
        <w:t xml:space="preserve"> </w:t>
      </w:r>
      <w:r>
        <w:t xml:space="preserve">3. 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Пример. Решим задачу дискретного логарифмирования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64</m:t>
        </m:r>
      </m:oMath>
      <w:r>
        <w:rPr>
          <w:iCs/>
          <w:i/>
        </w:rPr>
        <w:t xml:space="preserve">(mod 107)</w:t>
      </w:r>
      <w:r>
        <w:t xml:space="preserve">, используя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Метод Полларда. Порядок числа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107</m:t>
        </m:r>
      </m:oMath>
      <w:r>
        <w:t xml:space="preserve"> </w:t>
      </w:r>
      <w:r>
        <w:t xml:space="preserve">равен</w:t>
      </w:r>
      <w:r>
        <w:t xml:space="preserve"> </w:t>
      </w:r>
      <m:oMath>
        <m:r>
          <m:t>53</m:t>
        </m:r>
      </m:oMath>
      <w:r>
        <w:t xml:space="preserve">.</w:t>
      </w:r>
    </w:p>
    <w:p>
      <w:pPr>
        <w:pStyle w:val="BodyText"/>
      </w:pPr>
      <w:r>
        <w:t xml:space="preserve">Выберем отображение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≡</m:t>
        </m:r>
        <m:r>
          <m:t>10</m:t>
        </m:r>
        <m:r>
          <m:t>c</m:t>
        </m:r>
      </m:oMath>
      <w:r>
        <w:rPr>
          <w:iCs/>
          <w:i/>
        </w:rPr>
        <w:t xml:space="preserve">(mod 107)</w:t>
      </w:r>
      <w:r>
        <w:t xml:space="preserve"> </w:t>
      </w: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53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≡</m:t>
        </m:r>
        <m:r>
          <m:t>64</m:t>
        </m:r>
        <m:r>
          <m:t>c</m:t>
        </m:r>
      </m:oMath>
      <w:r>
        <w:rPr>
          <w:iCs/>
          <w:i/>
        </w:rPr>
        <w:t xml:space="preserve">(mod 107)</w:t>
      </w:r>
      <w:r>
        <w:t xml:space="preserve"> </w:t>
      </w: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53</m:t>
        </m:r>
      </m:oMath>
      <w:r>
        <w:t xml:space="preserve">. Пусть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2</m:t>
        </m:r>
      </m:oMath>
      <w:r>
        <w:t xml:space="preserve">. Результаты вычислений запишем в таблицу:</w:t>
      </w:r>
    </w:p>
    <w:p>
      <w:pPr>
        <w:pStyle w:val="CaptionedFigure"/>
      </w:pPr>
      <w:bookmarkStart w:id="23" w:name="fig:01"/>
      <w:r>
        <w:drawing>
          <wp:inline>
            <wp:extent cx="5334000" cy="3443069"/>
            <wp:effectExtent b="0" l="0" r="0" t="0"/>
            <wp:docPr descr="Пример дискретного логарифмирования" title="" id="1" name="Picture"/>
            <a:graphic>
              <a:graphicData uri="http://schemas.openxmlformats.org/drawingml/2006/picture">
                <pic:pic>
                  <pic:nvPicPr>
                    <pic:cNvPr descr="image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Пример дискретного логарифмирования</w:t>
      </w:r>
    </w:p>
    <w:p>
      <w:pPr>
        <w:pStyle w:val="BodyText"/>
      </w:pPr>
      <w:r>
        <w:t xml:space="preserve">Приравниваем логарифмы, полученные на</w:t>
      </w:r>
      <w:r>
        <w:t xml:space="preserve"> </w:t>
      </w:r>
      <m:oMath>
        <m:r>
          <m:t>11</m:t>
        </m:r>
        <m:r>
          <m:rPr>
            <m:sty m:val="p"/>
          </m:rPr>
          <m:t>−</m:t>
        </m:r>
      </m:oMath>
      <w:r>
        <w:t xml:space="preserve">м шаге: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≡</m:t>
        </m:r>
        <m:r>
          <m:t>13</m:t>
        </m:r>
        <m:r>
          <m:rPr>
            <m:sty m:val="p"/>
          </m:rPr>
          <m:t>+</m:t>
        </m:r>
        <m:r>
          <m:t>13</m:t>
        </m:r>
        <m:r>
          <m:t>x</m:t>
        </m:r>
      </m:oMath>
      <w:r>
        <w:rPr>
          <w:iCs/>
          <w:i/>
        </w:rPr>
        <w:t xml:space="preserve">(mod 107)</w:t>
      </w:r>
      <w:r>
        <w:t xml:space="preserve">. Решая сравнение первой степени, получаем: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rPr>
          <w:iCs/>
          <w:i/>
        </w:rPr>
        <w:t xml:space="preserve">(mod 53)</w:t>
      </w:r>
      <w:r>
        <w:t xml:space="preserve">.</w:t>
      </w:r>
    </w:p>
    <w:p>
      <w:pPr>
        <w:pStyle w:val="BodyText"/>
      </w:pPr>
      <w:r>
        <w:t xml:space="preserve">Проверка:</w:t>
      </w:r>
      <w:r>
        <w:t xml:space="preserve"> </w:t>
      </w:r>
      <m:oMath>
        <m:sSup>
          <m:e>
            <m:r>
              <m:t>10</m:t>
            </m:r>
          </m:e>
          <m:sup>
            <m:r>
              <m:t>20</m:t>
            </m:r>
          </m:sup>
        </m:sSup>
        <m:r>
          <m:rPr>
            <m:sty m:val="p"/>
          </m:rPr>
          <m:t>≡</m:t>
        </m:r>
        <m:r>
          <m:t>64</m:t>
        </m:r>
      </m:oMath>
      <w:r>
        <w:rPr>
          <w:iCs/>
          <w:i/>
        </w:rPr>
        <w:t xml:space="preserve">(mod 107)</w:t>
      </w:r>
      <w:r>
        <w:t xml:space="preserve">.</w:t>
      </w:r>
    </w:p>
    <w:p>
      <w:pPr>
        <w:pStyle w:val="CaptionedFigure"/>
      </w:pPr>
      <w:bookmarkStart w:id="25" w:name="fig:02"/>
      <w:r>
        <w:drawing>
          <wp:inline>
            <wp:extent cx="5101389" cy="4928134"/>
            <wp:effectExtent b="0" l="0" r="0" t="0"/>
            <wp:docPr descr="Алгоритм p-Поллард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Алгоритм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Полларда</w:t>
      </w:r>
    </w:p>
    <w:p>
      <w:pPr>
        <w:pStyle w:val="CaptionedFigure"/>
      </w:pPr>
      <w:bookmarkStart w:id="27" w:name="fig:03"/>
      <w:r>
        <w:drawing>
          <wp:inline>
            <wp:extent cx="2175309" cy="2002054"/>
            <wp:effectExtent b="0" l="0" r="0" t="0"/>
            <wp:docPr descr="Результат алгоритма p-Поллард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Результат алгоритма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</m:oMath>
      <w:r>
        <w:t xml:space="preserve">Полларда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была узчена тема дискретного логарифмирования в конечном поле.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Инструкция к лабораторной работе №7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31" Target="https://esystem.rudn.ru/pluginfile.php/1283466/mod_folder/content/0/lab07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esystem.rudn.ru/pluginfile.php/1283466/mod_folder/content/0/lab07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Кейела Патачона, группа НПМмд-02-21</dc:creator>
  <dc:language>ru-RU</dc:language>
  <cp:keywords/>
  <dcterms:created xsi:type="dcterms:W3CDTF">2021-12-25T08:57:12Z</dcterms:created>
  <dcterms:modified xsi:type="dcterms:W3CDTF">2021-12-25T08:57:12Z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№7 - Дискретное логарифмирование в конечном поле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