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6324F"/>
          <w:sz w:val="76"/>
        </w:rPr>
        <w:t>ActiCiv</w:t>
      </w:r>
    </w:p>
    <w:p>
      <w:pPr>
        <w:jc w:val="center"/>
      </w:pPr>
      <w:r>
        <w:rPr>
          <w:b/>
          <w:color w:val="1F7A8C"/>
          <w:sz w:val="36"/>
        </w:rPr>
        <w:t>LIVRE PRODUIT &amp; TECHNIQUE</w:t>
      </w:r>
    </w:p>
    <w:p>
      <w:pPr>
        <w:jc w:val="center"/>
      </w:pPr>
      <w:r>
        <w:t>MVP — Phase DEV — v1.4 — baseline documentaire de lancement Phase 2 bis</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 Voir. Signaler. Agir. » — Une plateforme citoyenne unique qui transforme un signalement géolocalisé en action opérationnelle auprès du bon acteur.</w:t>
            </w:r>
          </w:p>
        </w:tc>
      </w:tr>
    </w:tbl>
    <w:p/>
    <w:tbl>
      <w:tblPr>
        <w:tblStyle w:val="TableGrid"/>
        <w:tblW w:type="auto" w:w="0"/>
        <w:jc w:val="center"/>
        <w:tblLook w:firstColumn="1" w:firstRow="1" w:lastColumn="0" w:lastRow="0" w:noHBand="0" w:noVBand="1" w:val="04A0"/>
      </w:tblPr>
      <w:tblGrid>
        <w:gridCol w:w="5083"/>
        <w:gridCol w:w="5083"/>
      </w:tblGrid>
      <w:tr>
        <w:trPr>
          <w:cantSplit/>
        </w:trPr>
        <w:tc>
          <w:tcPr>
            <w:tcW w:type="dxa" w:w="3024"/>
            <w:shd w:fill="16324F"/>
            <w:tcMar>
              <w:top w:w="80" w:type="dxa"/>
              <w:start w:w="90" w:type="dxa"/>
              <w:bottom w:w="80" w:type="dxa"/>
              <w:end w:w="90" w:type="dxa"/>
            </w:tcMar>
          </w:tcPr>
          <w:p>
            <w:r>
              <w:rPr>
                <w:b/>
                <w:color w:val="FFFFFF"/>
                <w:sz w:val="18"/>
              </w:rPr>
              <w:t>Élément</w:t>
            </w:r>
          </w:p>
        </w:tc>
        <w:tc>
          <w:tcPr>
            <w:tcW w:type="dxa" w:w="6912"/>
            <w:shd w:fill="16324F"/>
            <w:tcMar>
              <w:top w:w="80" w:type="dxa"/>
              <w:start w:w="90" w:type="dxa"/>
              <w:bottom w:w="80" w:type="dxa"/>
              <w:end w:w="90" w:type="dxa"/>
            </w:tcMar>
          </w:tcPr>
          <w:p>
            <w:r>
              <w:rPr>
                <w:b/>
                <w:color w:val="FFFFFF"/>
                <w:sz w:val="18"/>
              </w:rPr>
              <w:t>Valeur</w:t>
            </w:r>
          </w:p>
        </w:tc>
      </w:tr>
      <w:tr>
        <w:trPr>
          <w:cantSplit/>
        </w:trPr>
        <w:tc>
          <w:tcPr>
            <w:tcW w:type="dxa" w:w="3024"/>
            <w:tcMar>
              <w:top w:w="80" w:type="dxa"/>
              <w:start w:w="90" w:type="dxa"/>
              <w:bottom w:w="80" w:type="dxa"/>
              <w:end w:w="90" w:type="dxa"/>
            </w:tcMar>
            <w:vAlign w:val="top"/>
          </w:tcPr>
          <w:p>
            <w:pPr>
              <w:spacing w:after="40"/>
            </w:pPr>
            <w:r>
              <w:rPr>
                <w:sz w:val="18"/>
              </w:rPr>
              <w:t>Statut</w:t>
            </w:r>
          </w:p>
        </w:tc>
        <w:tc>
          <w:tcPr>
            <w:tcW w:type="dxa" w:w="6912"/>
            <w:tcMar>
              <w:top w:w="80" w:type="dxa"/>
              <w:start w:w="90" w:type="dxa"/>
              <w:bottom w:w="80" w:type="dxa"/>
              <w:end w:w="90" w:type="dxa"/>
            </w:tcMar>
            <w:vAlign w:val="top"/>
          </w:tcPr>
          <w:p>
            <w:pPr>
              <w:spacing w:after="40"/>
            </w:pPr>
            <w:r>
              <w:rPr>
                <w:sz w:val="18"/>
              </w:rPr>
              <w:t>Source de vérité produit + technique</w:t>
            </w:r>
          </w:p>
        </w:tc>
      </w:tr>
      <w:tr>
        <w:trPr>
          <w:cantSplit/>
        </w:trPr>
        <w:tc>
          <w:tcPr>
            <w:tcW w:type="dxa" w:w="3024"/>
            <w:tcMar>
              <w:top w:w="80" w:type="dxa"/>
              <w:start w:w="90" w:type="dxa"/>
              <w:bottom w:w="80" w:type="dxa"/>
              <w:end w:w="90" w:type="dxa"/>
            </w:tcMar>
            <w:vAlign w:val="top"/>
            <w:shd w:fill="F7FAFA"/>
          </w:tcPr>
          <w:p>
            <w:pPr>
              <w:spacing w:after="40"/>
            </w:pPr>
            <w:r>
              <w:rPr>
                <w:sz w:val="18"/>
              </w:rPr>
              <w:t>Version</w:t>
            </w:r>
          </w:p>
        </w:tc>
        <w:tc>
          <w:tcPr>
            <w:tcW w:type="dxa" w:w="6912"/>
            <w:tcMar>
              <w:top w:w="80" w:type="dxa"/>
              <w:start w:w="90" w:type="dxa"/>
              <w:bottom w:w="80" w:type="dxa"/>
              <w:end w:w="90" w:type="dxa"/>
            </w:tcMar>
            <w:vAlign w:val="top"/>
            <w:shd w:fill="F7FAFA"/>
          </w:tcPr>
          <w:p>
            <w:r>
              <w:t>1.3 — référence exhaustive + engineering quality + knowledge foundations</w:t>
            </w:r>
          </w:p>
        </w:tc>
      </w:tr>
      <w:tr>
        <w:trPr>
          <w:cantSplit/>
        </w:trPr>
        <w:tc>
          <w:tcPr>
            <w:tcW w:type="dxa" w:w="3024"/>
            <w:tcMar>
              <w:top w:w="80" w:type="dxa"/>
              <w:start w:w="90" w:type="dxa"/>
              <w:bottom w:w="80" w:type="dxa"/>
              <w:end w:w="90" w:type="dxa"/>
            </w:tcMar>
            <w:vAlign w:val="top"/>
          </w:tcPr>
          <w:p>
            <w:pPr>
              <w:spacing w:after="40"/>
            </w:pPr>
            <w:r>
              <w:rPr>
                <w:sz w:val="18"/>
              </w:rPr>
              <w:t>Date</w:t>
            </w:r>
          </w:p>
        </w:tc>
        <w:tc>
          <w:tcPr>
            <w:tcW w:type="dxa" w:w="6912"/>
            <w:tcMar>
              <w:top w:w="80" w:type="dxa"/>
              <w:start w:w="90" w:type="dxa"/>
              <w:bottom w:w="80" w:type="dxa"/>
              <w:end w:w="90" w:type="dxa"/>
            </w:tcMar>
            <w:vAlign w:val="top"/>
          </w:tcPr>
          <w:p>
            <w:r>
              <w:t>17 septembre 2026</w:t>
            </w:r>
          </w:p>
        </w:tc>
      </w:tr>
      <w:tr>
        <w:trPr>
          <w:cantSplit/>
        </w:trPr>
        <w:tc>
          <w:tcPr>
            <w:tcW w:type="dxa" w:w="3024"/>
            <w:tcMar>
              <w:top w:w="80" w:type="dxa"/>
              <w:start w:w="90" w:type="dxa"/>
              <w:bottom w:w="80" w:type="dxa"/>
              <w:end w:w="90" w:type="dxa"/>
            </w:tcMar>
            <w:vAlign w:val="top"/>
            <w:shd w:fill="F7FAFA"/>
          </w:tcPr>
          <w:p>
            <w:pPr>
              <w:spacing w:after="40"/>
            </w:pPr>
            <w:r>
              <w:rPr>
                <w:sz w:val="18"/>
              </w:rPr>
              <w:t>Nom</w:t>
            </w:r>
          </w:p>
        </w:tc>
        <w:tc>
          <w:tcPr>
            <w:tcW w:type="dxa" w:w="6912"/>
            <w:tcMar>
              <w:top w:w="80" w:type="dxa"/>
              <w:start w:w="90" w:type="dxa"/>
              <w:bottom w:w="80" w:type="dxa"/>
              <w:end w:w="90" w:type="dxa"/>
            </w:tcMar>
            <w:vAlign w:val="top"/>
            <w:shd w:fill="F7FAFA"/>
          </w:tcPr>
          <w:p>
            <w:pPr>
              <w:spacing w:after="40"/>
            </w:pPr>
            <w:r>
              <w:rPr>
                <w:sz w:val="18"/>
              </w:rPr>
              <w:t>ActiCiv (nom de travail, rebrandable)</w:t>
            </w:r>
          </w:p>
        </w:tc>
      </w:tr>
      <w:tr>
        <w:trPr>
          <w:cantSplit/>
        </w:trPr>
        <w:tc>
          <w:tcPr>
            <w:tcW w:type="dxa" w:w="3024"/>
            <w:tcMar>
              <w:top w:w="80" w:type="dxa"/>
              <w:start w:w="90" w:type="dxa"/>
              <w:bottom w:w="80" w:type="dxa"/>
              <w:end w:w="90" w:type="dxa"/>
            </w:tcMar>
            <w:vAlign w:val="top"/>
          </w:tcPr>
          <w:p>
            <w:pPr>
              <w:spacing w:after="40"/>
            </w:pPr>
            <w:r>
              <w:rPr>
                <w:sz w:val="18"/>
              </w:rPr>
              <w:t>Périmètre</w:t>
            </w:r>
          </w:p>
        </w:tc>
        <w:tc>
          <w:tcPr>
            <w:tcW w:type="dxa" w:w="6912"/>
            <w:tcMar>
              <w:top w:w="80" w:type="dxa"/>
              <w:start w:w="90" w:type="dxa"/>
              <w:bottom w:w="80" w:type="dxa"/>
              <w:end w:w="90" w:type="dxa"/>
            </w:tcMar>
            <w:vAlign w:val="top"/>
          </w:tcPr>
          <w:p>
            <w:pPr>
              <w:spacing w:after="40"/>
            </w:pPr>
            <w:r>
              <w:rPr>
                <w:sz w:val="18"/>
              </w:rPr>
              <w:t>MVP Accessibilité + fondations multi-verticales</w:t>
            </w:r>
          </w:p>
        </w:tc>
      </w:tr>
    </w:tbl>
    <w:p/>
    <w:p>
      <w:pPr>
        <w:pStyle w:val="Callout"/>
        <w:spacing w:after="100"/>
      </w:pPr>
      <w:r>
        <w:t>Ce document consolide les décisions prises sur la vision, le modèle produit, l’UX, les rôles, les workflows, la stratégie de lancement, le modèle économique, l’architecture, la sécurité, l’accessibilité, la qualité, l’internationalisation, la gouvernance documentaire, l’observabilité et la méthode d’ingénierie. Le prompt de développement Astra doit être dérivé de ce livre, jamais l’inverse.</w:t>
      </w:r>
    </w:p>
    <w:p>
      <w:pPr>
        <w:pStyle w:val="Callout"/>
      </w:pPr>
      <w:r>
        <w:t>Statut de lancement : Phase 2 CLOSED. Baseline officielle : `fac0fc8663d1f32b09b720fddffd46f0829c8a6a`. Phase courante : Phase 2 bis — Engineering Quality, Internationalisation &amp; Knowledge Foundations. Phase 3 : NOT STARTED.</w:t>
      </w:r>
    </w:p>
    <w:p>
      <w:r>
        <w:br w:type="page"/>
      </w:r>
    </w:p>
    <w:p>
      <w:pPr>
        <w:pStyle w:val="Heading1"/>
        <w:keepNext/>
        <w:spacing w:before="180" w:after="80"/>
      </w:pPr>
      <w:r>
        <w:t>Sommaire</w:t>
      </w:r>
    </w:p>
    <w:p>
      <w:pPr>
        <w:pStyle w:val="ListBullet"/>
        <w:spacing w:after="40"/>
      </w:pPr>
      <w:r>
        <w:t>Partie A — Vision, stratégie et modèle économique</w:t>
      </w:r>
    </w:p>
    <w:p>
      <w:pPr>
        <w:pStyle w:val="ListBullet"/>
        <w:spacing w:after="40"/>
      </w:pPr>
      <w:r>
        <w:t>1. Vision et positionnement</w:t>
      </w:r>
    </w:p>
    <w:p>
      <w:pPr>
        <w:pStyle w:val="ListBullet"/>
        <w:spacing w:after="40"/>
      </w:pPr>
      <w:r>
        <w:t>2. Problème, proposition de valeur et différenciation</w:t>
      </w:r>
    </w:p>
    <w:p>
      <w:pPr>
        <w:pStyle w:val="ListBullet"/>
        <w:spacing w:after="40"/>
      </w:pPr>
      <w:r>
        <w:t>3. Modèle économique et principes de pricing</w:t>
      </w:r>
    </w:p>
    <w:p>
      <w:pPr>
        <w:pStyle w:val="ListBullet"/>
        <w:spacing w:after="40"/>
      </w:pPr>
      <w:r>
        <w:t>4. Marché, concurrence et stratégie de lancement</w:t>
      </w:r>
    </w:p>
    <w:p>
      <w:pPr>
        <w:pStyle w:val="ListBullet"/>
        <w:spacing w:after="40"/>
      </w:pPr>
      <w:r>
        <w:t>5. Nom, marque et protection du projet</w:t>
      </w:r>
    </w:p>
    <w:p>
      <w:pPr>
        <w:pStyle w:val="ListBullet"/>
        <w:spacing w:after="40"/>
      </w:pPr>
      <w:r>
        <w:t>Partie B — Produit et expérience citoyenne</w:t>
      </w:r>
    </w:p>
    <w:p>
      <w:pPr>
        <w:pStyle w:val="ListBullet"/>
        <w:spacing w:after="40"/>
      </w:pPr>
      <w:r>
        <w:t>6. Périmètre MVP et verticales</w:t>
      </w:r>
    </w:p>
    <w:p>
      <w:pPr>
        <w:pStyle w:val="ListBullet"/>
        <w:spacing w:after="40"/>
      </w:pPr>
      <w:r>
        <w:t>7. Rôles et gouvernance</w:t>
      </w:r>
    </w:p>
    <w:p>
      <w:pPr>
        <w:pStyle w:val="ListBullet"/>
        <w:spacing w:after="40"/>
      </w:pPr>
      <w:r>
        <w:t>8. Parcours citoyen détaillé</w:t>
      </w:r>
    </w:p>
    <w:p>
      <w:pPr>
        <w:pStyle w:val="ListBullet"/>
        <w:spacing w:after="40"/>
      </w:pPr>
      <w:r>
        <w:t>9. Zone non couverte et boucle d’acquisition</w:t>
      </w:r>
    </w:p>
    <w:p>
      <w:pPr>
        <w:pStyle w:val="ListBullet"/>
        <w:spacing w:after="40"/>
      </w:pPr>
      <w:r>
        <w:t>10. Sécurité citoyenne, anonymat et anti-abus</w:t>
      </w:r>
    </w:p>
    <w:p>
      <w:pPr>
        <w:pStyle w:val="ListBullet"/>
        <w:spacing w:after="40"/>
      </w:pPr>
      <w:r>
        <w:t>Partie C — Opérations professionnelles</w:t>
      </w:r>
    </w:p>
    <w:p>
      <w:pPr>
        <w:pStyle w:val="ListBullet"/>
        <w:spacing w:after="40"/>
      </w:pPr>
      <w:r>
        <w:t>11. Agent terrain</w:t>
      </w:r>
    </w:p>
    <w:p>
      <w:pPr>
        <w:pStyle w:val="ListBullet"/>
        <w:spacing w:after="40"/>
      </w:pPr>
      <w:r>
        <w:t>12. Supervision</w:t>
      </w:r>
    </w:p>
    <w:p>
      <w:pPr>
        <w:pStyle w:val="ListBullet"/>
        <w:spacing w:after="40"/>
      </w:pPr>
      <w:r>
        <w:t>13. Workflow, statuts, transferts et tiers</w:t>
      </w:r>
    </w:p>
    <w:p>
      <w:pPr>
        <w:pStyle w:val="ListBullet"/>
        <w:spacing w:after="40"/>
      </w:pPr>
      <w:r>
        <w:t>14. Routage, territoires et contrats</w:t>
      </w:r>
    </w:p>
    <w:p>
      <w:pPr>
        <w:pStyle w:val="ListBullet"/>
        <w:spacing w:after="40"/>
      </w:pPr>
      <w:r>
        <w:t>15. SLA, horaires et notifications</w:t>
      </w:r>
    </w:p>
    <w:p>
      <w:pPr>
        <w:pStyle w:val="ListBullet"/>
        <w:spacing w:after="40"/>
      </w:pPr>
      <w:r>
        <w:t>16. Doublons, clôture, notes et historique</w:t>
      </w:r>
    </w:p>
    <w:p>
      <w:pPr>
        <w:pStyle w:val="ListBullet"/>
        <w:spacing w:after="40"/>
      </w:pPr>
      <w:r>
        <w:t>17. Analytics et opportunités</w:t>
      </w:r>
    </w:p>
    <w:p>
      <w:pPr>
        <w:pStyle w:val="ListBullet"/>
        <w:spacing w:after="40"/>
      </w:pPr>
      <w:r>
        <w:t>Partie D — Design, accessibilité et branding</w:t>
      </w:r>
    </w:p>
    <w:p>
      <w:pPr>
        <w:pStyle w:val="ListBullet"/>
        <w:spacing w:after="40"/>
      </w:pPr>
      <w:r>
        <w:t>18. Direction UX/UI</w:t>
      </w:r>
    </w:p>
    <w:p>
      <w:pPr>
        <w:pStyle w:val="ListBullet"/>
        <w:spacing w:after="40"/>
      </w:pPr>
      <w:r>
        <w:t>19. Accessibilité WCAG 2.2 AA</w:t>
      </w:r>
    </w:p>
    <w:p>
      <w:pPr>
        <w:pStyle w:val="ListBullet"/>
        <w:spacing w:after="40"/>
      </w:pPr>
      <w:r>
        <w:t>20. Co-branding et design system</w:t>
      </w:r>
    </w:p>
    <w:p>
      <w:pPr>
        <w:pStyle w:val="ListBullet"/>
        <w:spacing w:after="40"/>
      </w:pPr>
      <w:r>
        <w:t>Partie E — Architecture et garde-fous techniques</w:t>
      </w:r>
    </w:p>
    <w:p>
      <w:pPr>
        <w:pStyle w:val="ListBullet"/>
        <w:spacing w:after="40"/>
      </w:pPr>
      <w:r>
        <w:t>21. Stack, monolithe modulaire et architecture hexagonale pragmatique</w:t>
      </w:r>
    </w:p>
    <w:p>
      <w:pPr>
        <w:pStyle w:val="ListBullet"/>
        <w:spacing w:after="40"/>
      </w:pPr>
      <w:r>
        <w:t>22. Backend source de vérité et règles de domaine</w:t>
      </w:r>
    </w:p>
    <w:p>
      <w:pPr>
        <w:pStyle w:val="ListBullet"/>
        <w:spacing w:after="40"/>
      </w:pPr>
      <w:r>
        <w:t>23. Données, base, concurrence et idempotence</w:t>
      </w:r>
    </w:p>
    <w:p>
      <w:pPr>
        <w:pStyle w:val="ListBullet"/>
        <w:spacing w:after="40"/>
      </w:pPr>
      <w:r>
        <w:t>24. Sécurité, confidentialité et rétention</w:t>
      </w:r>
    </w:p>
    <w:p>
      <w:pPr>
        <w:pStyle w:val="ListBullet"/>
        <w:spacing w:after="40"/>
      </w:pPr>
      <w:r>
        <w:t>25. Performance, dépendances et observabilité</w:t>
      </w:r>
    </w:p>
    <w:p>
      <w:pPr>
        <w:pStyle w:val="ListBullet"/>
        <w:spacing w:after="40"/>
      </w:pPr>
      <w:r>
        <w:t>26. Tests, non-régression et CI</w:t>
      </w:r>
    </w:p>
    <w:p>
      <w:pPr>
        <w:pStyle w:val="ListBullet"/>
        <w:spacing w:after="40"/>
      </w:pPr>
      <w:r>
        <w:t>27. Environnements, seeds et ADR</w:t>
      </w:r>
    </w:p>
    <w:p>
      <w:pPr>
        <w:pStyle w:val="ListBullet"/>
        <w:spacing w:after="40"/>
      </w:pPr>
      <w:r>
        <w:t>28. Règles de conduite imposées à l’agent de développement</w:t>
      </w:r>
    </w:p>
    <w:p>
      <w:pPr>
        <w:pStyle w:val="ListBullet"/>
        <w:spacing w:after="40"/>
      </w:pPr>
      <w:r>
        <w:t>Partie F — Delivery</w:t>
      </w:r>
    </w:p>
    <w:p>
      <w:pPr>
        <w:pStyle w:val="ListBullet"/>
        <w:spacing w:after="40"/>
      </w:pPr>
      <w:r>
        <w:t>29. Phasage de développement</w:t>
      </w:r>
    </w:p>
    <w:p>
      <w:pPr>
        <w:pStyle w:val="ListBullet"/>
        <w:spacing w:after="40"/>
      </w:pPr>
      <w:r>
        <w:t>30. Hors périmètre MVP</w:t>
      </w:r>
    </w:p>
    <w:p>
      <w:pPr>
        <w:pStyle w:val="ListBullet"/>
        <w:spacing w:after="40"/>
      </w:pPr>
      <w:r>
        <w:t>31. Démonstration cible et critères de réussite</w:t>
      </w:r>
    </w:p>
    <w:p>
      <w:pPr>
        <w:pStyle w:val="ListBullet"/>
        <w:spacing w:after="40"/>
      </w:pPr>
      <w:r>
        <w:t>Annexes — Matrice des décisions verrouillées et questions reportées</w:t>
      </w:r>
    </w:p>
    <w:p>
      <w:pPr>
        <w:pStyle w:val="ListBullet"/>
      </w:pPr>
      <w:r>
        <w:t>Partie G — Consolidation finale des décisions transverses</w:t>
      </w:r>
    </w:p>
    <w:p>
      <w:pPr>
        <w:pStyle w:val="ListBullet"/>
      </w:pPr>
      <w:r>
        <w:t>32–53. Frontières légales, UX détaillée, cartographie, résilience, architecture hexagonale, performance, QA, i18n, POM et matrice de traçabilité</w:t>
      </w:r>
    </w:p>
    <w:p>
      <w:pPr>
        <w:pStyle w:val="ListBullet"/>
      </w:pPr>
      <w:r>
        <w:t>Partie H — Engineering Quality, Security, Knowledge &amp; AI Governance</w:t>
      </w:r>
    </w:p>
    <w:p>
      <w:pPr>
        <w:pStyle w:val="ListBullet"/>
      </w:pPr>
      <w:r>
        <w:t>54–80. TDD, tagging, coverage, Quality Gates, Security Assurance, observabilité, Quality Center, KB, ADR, Rules/Skills, Production Hygiene et Definition of Done</w:t>
      </w:r>
    </w:p>
    <w:p>
      <w:r/>
    </w:p>
    <w:p>
      <w:pPr>
        <w:pStyle w:val="Heading1"/>
        <w:keepNext/>
        <w:spacing w:before="180" w:after="80"/>
      </w:pPr>
      <w:r>
        <w:t>Partie A — Vision, stratégie et modèle économique</w:t>
      </w:r>
    </w:p>
    <w:p>
      <w:pPr>
        <w:pStyle w:val="Heading2"/>
        <w:keepNext/>
        <w:spacing w:before="180" w:after="80"/>
      </w:pPr>
      <w:r>
        <w:t>1. Vision et positionnement</w:t>
      </w:r>
    </w:p>
    <w:p>
      <w:pPr>
        <w:spacing w:after="100"/>
      </w:pPr>
      <w:r>
        <w:t>ActiCiv est une plateforme universelle de signalement citoyen géolocalisé. Elle ne doit pas être pensée comme une simple boîte à messages municipale, mais comme un moteur qui transforme un problème observé sur le terrain en action opérationnelle auprès du bon acteur.</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Chaîne de valeur : Citoyen → Signalement → Géolocalisation → Routage automatique → Organisation → Service → Agent → Intervention → Résolution.</w:t>
            </w:r>
          </w:p>
        </w:tc>
      </w:tr>
    </w:tbl>
    <w:p/>
    <w:p>
      <w:pPr>
        <w:spacing w:after="100"/>
      </w:pPr>
      <w:r>
        <w:t>Le citoyen ne doit pas avoir à savoir quelle collectivité, quel service, quel exploitant ou quel établissement est compétent. ActiCiv doit résoudre cette complexité en arrière-plan.</w:t>
      </w:r>
    </w:p>
    <w:p>
      <w:pPr>
        <w:spacing w:after="100"/>
      </w:pPr>
      <w:r>
        <w:t>La première verticale active est l’accessibilité. Le cœur doit néanmoins être générique afin d’accueillir de nouvelles verticales sans réécriture majeure.</w:t>
      </w:r>
    </w:p>
    <w:p>
      <w:pPr>
        <w:pStyle w:val="Heading2"/>
        <w:keepNext/>
        <w:spacing w:before="180" w:after="80"/>
      </w:pPr>
      <w:r>
        <w:t>2. Problème, proposition de valeur et différenciation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shd w:fill="16324F"/>
            <w:tcMar>
              <w:top w:w="80" w:type="dxa"/>
              <w:start w:w="90" w:type="dxa"/>
              <w:bottom w:w="80" w:type="dxa"/>
              <w:end w:w="90" w:type="dxa"/>
            </w:tcMar>
          </w:tcPr>
          <w:p>
            <w:r>
              <w:rPr>
                <w:b/>
                <w:color w:val="FFFFFF"/>
                <w:sz w:val="18"/>
              </w:rPr>
              <w:t>Dimension</w:t>
            </w:r>
          </w:p>
        </w:tc>
        <w:tc>
          <w:tcPr>
            <w:tcW w:type="dxa" w:w="7632"/>
            <w:shd w:fill="16324F"/>
            <w:tcMar>
              <w:top w:w="80" w:type="dxa"/>
              <w:start w:w="90" w:type="dxa"/>
              <w:bottom w:w="80" w:type="dxa"/>
              <w:end w:w="90" w:type="dxa"/>
            </w:tcMar>
          </w:tcPr>
          <w:p>
            <w:r>
              <w:rPr>
                <w:b/>
                <w:color w:val="FFFFFF"/>
                <w:sz w:val="18"/>
              </w:rPr>
              <w:t>Décision</w:t>
            </w:r>
          </w:p>
        </w:tc>
      </w:tr>
      <w:tr>
        <w:trPr>
          <w:cantSplit/>
        </w:trPr>
        <w:tc>
          <w:tcPr>
            <w:tcW w:type="dxa" w:w="2448"/>
            <w:tcMar>
              <w:top w:w="80" w:type="dxa"/>
              <w:start w:w="90" w:type="dxa"/>
              <w:bottom w:w="80" w:type="dxa"/>
              <w:end w:w="90" w:type="dxa"/>
            </w:tcMar>
            <w:vAlign w:val="top"/>
          </w:tcPr>
          <w:p>
            <w:pPr>
              <w:spacing w:after="40"/>
            </w:pPr>
            <w:r>
              <w:rPr>
                <w:sz w:val="18"/>
              </w:rPr>
              <w:t>Entrée citoyenne</w:t>
            </w:r>
          </w:p>
        </w:tc>
        <w:tc>
          <w:tcPr>
            <w:tcW w:type="dxa" w:w="7632"/>
            <w:tcMar>
              <w:top w:w="80" w:type="dxa"/>
              <w:start w:w="90" w:type="dxa"/>
              <w:bottom w:w="80" w:type="dxa"/>
              <w:end w:w="90" w:type="dxa"/>
            </w:tcMar>
            <w:vAlign w:val="top"/>
          </w:tcPr>
          <w:p>
            <w:pPr>
              <w:spacing w:after="40"/>
            </w:pPr>
            <w:r>
              <w:rPr>
                <w:sz w:val="18"/>
              </w:rPr>
              <w:t>Une seule application / PWA, quel que soit le territoire.</w:t>
            </w:r>
          </w:p>
        </w:tc>
      </w:tr>
      <w:tr>
        <w:trPr>
          <w:cantSplit/>
        </w:trPr>
        <w:tc>
          <w:tcPr>
            <w:tcW w:type="dxa" w:w="2448"/>
            <w:tcMar>
              <w:top w:w="80" w:type="dxa"/>
              <w:start w:w="90" w:type="dxa"/>
              <w:bottom w:w="80" w:type="dxa"/>
              <w:end w:w="90" w:type="dxa"/>
            </w:tcMar>
            <w:vAlign w:val="top"/>
            <w:shd w:fill="F7FAFA"/>
          </w:tcPr>
          <w:p>
            <w:pPr>
              <w:spacing w:after="40"/>
            </w:pPr>
            <w:r>
              <w:rPr>
                <w:sz w:val="18"/>
              </w:rPr>
              <w:t>Routage</w:t>
            </w:r>
          </w:p>
        </w:tc>
        <w:tc>
          <w:tcPr>
            <w:tcW w:type="dxa" w:w="7632"/>
            <w:tcMar>
              <w:top w:w="80" w:type="dxa"/>
              <w:start w:w="90" w:type="dxa"/>
              <w:bottom w:w="80" w:type="dxa"/>
              <w:end w:w="90" w:type="dxa"/>
            </w:tcMar>
            <w:vAlign w:val="top"/>
            <w:shd w:fill="F7FAFA"/>
          </w:tcPr>
          <w:p>
            <w:pPr>
              <w:spacing w:after="40"/>
            </w:pPr>
            <w:r>
              <w:rPr>
                <w:sz w:val="18"/>
              </w:rPr>
              <w:t>Le bon acteur est déterminé automatiquement à partir de la localisation, de la catégorie et du périmètre contractuel.</w:t>
            </w:r>
          </w:p>
        </w:tc>
      </w:tr>
      <w:tr>
        <w:trPr>
          <w:cantSplit/>
        </w:trPr>
        <w:tc>
          <w:tcPr>
            <w:tcW w:type="dxa" w:w="2448"/>
            <w:tcMar>
              <w:top w:w="80" w:type="dxa"/>
              <w:start w:w="90" w:type="dxa"/>
              <w:bottom w:w="80" w:type="dxa"/>
              <w:end w:w="90" w:type="dxa"/>
            </w:tcMar>
            <w:vAlign w:val="top"/>
          </w:tcPr>
          <w:p>
            <w:pPr>
              <w:spacing w:after="40"/>
            </w:pPr>
            <w:r>
              <w:rPr>
                <w:sz w:val="18"/>
              </w:rPr>
              <w:t>Opérations</w:t>
            </w:r>
          </w:p>
        </w:tc>
        <w:tc>
          <w:tcPr>
            <w:tcW w:type="dxa" w:w="7632"/>
            <w:tcMar>
              <w:top w:w="80" w:type="dxa"/>
              <w:start w:w="90" w:type="dxa"/>
              <w:bottom w:w="80" w:type="dxa"/>
              <w:end w:w="90" w:type="dxa"/>
            </w:tcMar>
            <w:vAlign w:val="top"/>
          </w:tcPr>
          <w:p>
            <w:pPr>
              <w:spacing w:after="40"/>
            </w:pPr>
            <w:r>
              <w:rPr>
                <w:sz w:val="18"/>
              </w:rPr>
              <w:t>Le signalement devient un objet de travail : prise en charge, SLA, intervention, transfert, tiers, clôture, audit.</w:t>
            </w:r>
          </w:p>
        </w:tc>
      </w:tr>
      <w:tr>
        <w:trPr>
          <w:cantSplit/>
        </w:trPr>
        <w:tc>
          <w:tcPr>
            <w:tcW w:type="dxa" w:w="2448"/>
            <w:tcMar>
              <w:top w:w="80" w:type="dxa"/>
              <w:start w:w="90" w:type="dxa"/>
              <w:bottom w:w="80" w:type="dxa"/>
              <w:end w:w="90" w:type="dxa"/>
            </w:tcMar>
            <w:vAlign w:val="top"/>
            <w:shd w:fill="F7FAFA"/>
          </w:tcPr>
          <w:p>
            <w:pPr>
              <w:spacing w:after="40"/>
            </w:pPr>
            <w:r>
              <w:rPr>
                <w:sz w:val="18"/>
              </w:rPr>
              <w:t>Multi-vertical</w:t>
            </w:r>
          </w:p>
        </w:tc>
        <w:tc>
          <w:tcPr>
            <w:tcW w:type="dxa" w:w="7632"/>
            <w:tcMar>
              <w:top w:w="80" w:type="dxa"/>
              <w:start w:w="90" w:type="dxa"/>
              <w:bottom w:w="80" w:type="dxa"/>
              <w:end w:w="90" w:type="dxa"/>
            </w:tcMar>
            <w:vAlign w:val="top"/>
            <w:shd w:fill="F7FAFA"/>
          </w:tcPr>
          <w:p>
            <w:pPr>
              <w:spacing w:after="40"/>
            </w:pPr>
            <w:r>
              <w:rPr>
                <w:sz w:val="18"/>
              </w:rPr>
              <w:t>L’architecture n’est pas limitée au stationnement PMR.</w:t>
            </w:r>
          </w:p>
        </w:tc>
      </w:tr>
      <w:tr>
        <w:trPr>
          <w:cantSplit/>
        </w:trPr>
        <w:tc>
          <w:tcPr>
            <w:tcW w:type="dxa" w:w="2448"/>
            <w:tcMar>
              <w:top w:w="80" w:type="dxa"/>
              <w:start w:w="90" w:type="dxa"/>
              <w:bottom w:w="80" w:type="dxa"/>
              <w:end w:w="90" w:type="dxa"/>
            </w:tcMar>
            <w:vAlign w:val="top"/>
          </w:tcPr>
          <w:p>
            <w:pPr>
              <w:spacing w:after="40"/>
            </w:pPr>
            <w:r>
              <w:rPr>
                <w:sz w:val="18"/>
              </w:rPr>
              <w:t>Temps réel</w:t>
            </w:r>
          </w:p>
        </w:tc>
        <w:tc>
          <w:tcPr>
            <w:tcW w:type="dxa" w:w="7632"/>
            <w:tcMar>
              <w:top w:w="80" w:type="dxa"/>
              <w:start w:w="90" w:type="dxa"/>
              <w:bottom w:w="80" w:type="dxa"/>
              <w:end w:w="90" w:type="dxa"/>
            </w:tcMar>
            <w:vAlign w:val="top"/>
          </w:tcPr>
          <w:p>
            <w:pPr>
              <w:spacing w:after="40"/>
            </w:pPr>
            <w:r>
              <w:rPr>
                <w:sz w:val="18"/>
              </w:rPr>
              <w:t>Les équipes professionnelles voient les nouveaux signalements et évolutions rapidement.</w:t>
            </w:r>
          </w:p>
        </w:tc>
      </w:tr>
      <w:tr>
        <w:trPr>
          <w:cantSplit/>
        </w:trPr>
        <w:tc>
          <w:tcPr>
            <w:tcW w:type="dxa" w:w="2448"/>
            <w:tcMar>
              <w:top w:w="80" w:type="dxa"/>
              <w:start w:w="90" w:type="dxa"/>
              <w:bottom w:w="80" w:type="dxa"/>
              <w:end w:w="90" w:type="dxa"/>
            </w:tcMar>
            <w:vAlign w:val="top"/>
            <w:shd w:fill="F7FAFA"/>
          </w:tcPr>
          <w:p>
            <w:pPr>
              <w:spacing w:after="40"/>
            </w:pPr>
            <w:r>
              <w:rPr>
                <w:sz w:val="18"/>
              </w:rPr>
              <w:t>Différenciation</w:t>
            </w:r>
          </w:p>
        </w:tc>
        <w:tc>
          <w:tcPr>
            <w:tcW w:type="dxa" w:w="7632"/>
            <w:tcMar>
              <w:top w:w="80" w:type="dxa"/>
              <w:start w:w="90" w:type="dxa"/>
              <w:bottom w:w="80" w:type="dxa"/>
              <w:end w:w="90" w:type="dxa"/>
            </w:tcMar>
            <w:vAlign w:val="top"/>
            <w:shd w:fill="F7FAFA"/>
          </w:tcPr>
          <w:p>
            <w:pPr>
              <w:spacing w:after="40"/>
            </w:pPr>
            <w:r>
              <w:rPr>
                <w:sz w:val="18"/>
              </w:rPr>
              <w:t>ActiCiv combine simplicité citoyenne + routage + workflow opérationnel + capacité multi-verticale.</w:t>
            </w:r>
          </w:p>
        </w:tc>
      </w:tr>
    </w:tbl>
    <w:p/>
    <w:p>
      <w:pPr>
        <w:spacing w:after="100"/>
      </w:pPr>
      <w:r>
        <w:t>Positionnement synthétique retenu : « Le citoyen signale. Le bon acteur agit. » Le slogan de travail peut rester « Voir. Signaler. Agir. »</w:t>
      </w:r>
    </w:p>
    <w:p>
      <w:pPr>
        <w:pStyle w:val="Heading2"/>
        <w:keepNext/>
        <w:spacing w:before="180" w:after="80"/>
      </w:pPr>
      <w:r>
        <w:t>3. Modèle économique et principes de pricing</w:t>
      </w:r>
    </w:p>
    <w:p>
      <w:pPr>
        <w:spacing w:after="100"/>
      </w:pPr>
      <w:r>
        <w:t>Principe non négociable : l’application citoyenne est gratuite. Le citoyen ne doit jamais payer pour signaler un problème d’intérêt collectif.</w:t>
      </w:r>
    </w:p>
    <w:p>
      <w:pPr>
        <w:pStyle w:val="ListBullet"/>
        <w:spacing w:after="40"/>
      </w:pPr>
      <w:r>
        <w:t>Abonnement public prévisible et raisonnable, jamais facturation au nombre de signalements.</w:t>
      </w:r>
    </w:p>
    <w:p>
      <w:pPr>
        <w:pStyle w:val="ListBullet"/>
        <w:spacing w:after="40"/>
      </w:pPr>
      <w:r>
        <w:t>Aucune commission sur amendes, remorquages ou sanctions.</w:t>
      </w:r>
    </w:p>
    <w:p>
      <w:pPr>
        <w:pStyle w:val="ListBullet"/>
        <w:spacing w:after="40"/>
      </w:pPr>
      <w:r>
        <w:t>Les grands opérateurs privés et intégrations entreprise peuvent être facturés au prix du marché afin de soutenir un pricing public modéré.</w:t>
      </w:r>
    </w:p>
    <w:p>
      <w:pPr>
        <w:pStyle w:val="ListBullet"/>
        <w:spacing w:after="40"/>
      </w:pPr>
      <w:r>
        <w:t>Les fonctions premium futures peuvent inclure SSO, API, SLA contractuel, intégrations, hébergement ou support dédié.</w:t>
      </w:r>
    </w:p>
    <w:p>
      <w:pPr>
        <w:spacing w:after="100"/>
      </w:pPr>
      <w:r>
        <w:t>Grille de travail discutée, à revalider avant commercialisation :</w:t>
      </w:r>
    </w:p>
    <w:tbl>
      <w:tblPr>
        <w:tblStyle w:val="TableGrid"/>
        <w:tblW w:type="auto" w:w="0"/>
        <w:jc w:val="center"/>
        <w:tblLook w:firstColumn="1" w:firstRow="1" w:lastColumn="0" w:lastRow="0" w:noHBand="0" w:noVBand="1" w:val="04A0"/>
      </w:tblPr>
      <w:tblGrid>
        <w:gridCol w:w="5083"/>
        <w:gridCol w:w="5083"/>
      </w:tblGrid>
      <w:tr>
        <w:trPr>
          <w:cantSplit/>
        </w:trPr>
        <w:tc>
          <w:tcPr>
            <w:tcW w:type="dxa" w:w="4608"/>
            <w:shd w:fill="16324F"/>
            <w:tcMar>
              <w:top w:w="80" w:type="dxa"/>
              <w:start w:w="90" w:type="dxa"/>
              <w:bottom w:w="80" w:type="dxa"/>
              <w:end w:w="90" w:type="dxa"/>
            </w:tcMar>
          </w:tcPr>
          <w:p>
            <w:r>
              <w:rPr>
                <w:b/>
                <w:color w:val="FFFFFF"/>
                <w:sz w:val="18"/>
              </w:rPr>
              <w:t>Taille / type</w:t>
            </w:r>
          </w:p>
        </w:tc>
        <w:tc>
          <w:tcPr>
            <w:tcW w:type="dxa" w:w="5472"/>
            <w:shd w:fill="16324F"/>
            <w:tcMar>
              <w:top w:w="80" w:type="dxa"/>
              <w:start w:w="90" w:type="dxa"/>
              <w:bottom w:w="80" w:type="dxa"/>
              <w:end w:w="90" w:type="dxa"/>
            </w:tcMar>
          </w:tcPr>
          <w:p>
            <w:r>
              <w:rPr>
                <w:b/>
                <w:color w:val="FFFFFF"/>
                <w:sz w:val="18"/>
              </w:rPr>
              <w:t>Ordre de grandeur annuel envisagé</w:t>
            </w:r>
          </w:p>
        </w:tc>
      </w:tr>
      <w:tr>
        <w:trPr>
          <w:cantSplit/>
        </w:trPr>
        <w:tc>
          <w:tcPr>
            <w:tcW w:type="dxa" w:w="4608"/>
            <w:tcMar>
              <w:top w:w="80" w:type="dxa"/>
              <w:start w:w="90" w:type="dxa"/>
              <w:bottom w:w="80" w:type="dxa"/>
              <w:end w:w="90" w:type="dxa"/>
            </w:tcMar>
            <w:vAlign w:val="top"/>
          </w:tcPr>
          <w:p>
            <w:pPr>
              <w:spacing w:after="40"/>
            </w:pPr>
            <w:r>
              <w:rPr>
                <w:sz w:val="18"/>
              </w:rPr>
              <w:t>&lt; 1 000 habitants</w:t>
            </w:r>
          </w:p>
        </w:tc>
        <w:tc>
          <w:tcPr>
            <w:tcW w:type="dxa" w:w="5472"/>
            <w:tcMar>
              <w:top w:w="80" w:type="dxa"/>
              <w:start w:w="90" w:type="dxa"/>
              <w:bottom w:w="80" w:type="dxa"/>
              <w:end w:w="90" w:type="dxa"/>
            </w:tcMar>
            <w:vAlign w:val="top"/>
          </w:tcPr>
          <w:p>
            <w:pPr>
              <w:spacing w:after="40"/>
            </w:pPr>
            <w:r>
              <w:rPr>
                <w:sz w:val="18"/>
              </w:rPr>
              <w:t>Gratuit ou ~99 €</w:t>
            </w:r>
          </w:p>
        </w:tc>
      </w:tr>
      <w:tr>
        <w:trPr>
          <w:cantSplit/>
        </w:trPr>
        <w:tc>
          <w:tcPr>
            <w:tcW w:type="dxa" w:w="4608"/>
            <w:tcMar>
              <w:top w:w="80" w:type="dxa"/>
              <w:start w:w="90" w:type="dxa"/>
              <w:bottom w:w="80" w:type="dxa"/>
              <w:end w:w="90" w:type="dxa"/>
            </w:tcMar>
            <w:vAlign w:val="top"/>
            <w:shd w:fill="F7FAFA"/>
          </w:tcPr>
          <w:p>
            <w:pPr>
              <w:spacing w:after="40"/>
            </w:pPr>
            <w:r>
              <w:rPr>
                <w:sz w:val="18"/>
              </w:rPr>
              <w:t>1 000–5 000</w:t>
            </w:r>
          </w:p>
        </w:tc>
        <w:tc>
          <w:tcPr>
            <w:tcW w:type="dxa" w:w="5472"/>
            <w:tcMar>
              <w:top w:w="80" w:type="dxa"/>
              <w:start w:w="90" w:type="dxa"/>
              <w:bottom w:w="80" w:type="dxa"/>
              <w:end w:w="90" w:type="dxa"/>
            </w:tcMar>
            <w:vAlign w:val="top"/>
            <w:shd w:fill="F7FAFA"/>
          </w:tcPr>
          <w:p>
            <w:pPr>
              <w:spacing w:after="40"/>
            </w:pPr>
            <w:r>
              <w:rPr>
                <w:sz w:val="18"/>
              </w:rPr>
              <w:t>~250 €</w:t>
            </w:r>
          </w:p>
        </w:tc>
      </w:tr>
      <w:tr>
        <w:trPr>
          <w:cantSplit/>
        </w:trPr>
        <w:tc>
          <w:tcPr>
            <w:tcW w:type="dxa" w:w="4608"/>
            <w:tcMar>
              <w:top w:w="80" w:type="dxa"/>
              <w:start w:w="90" w:type="dxa"/>
              <w:bottom w:w="80" w:type="dxa"/>
              <w:end w:w="90" w:type="dxa"/>
            </w:tcMar>
            <w:vAlign w:val="top"/>
          </w:tcPr>
          <w:p>
            <w:pPr>
              <w:spacing w:after="40"/>
            </w:pPr>
            <w:r>
              <w:rPr>
                <w:sz w:val="18"/>
              </w:rPr>
              <w:t>5 000–10 000</w:t>
            </w:r>
          </w:p>
        </w:tc>
        <w:tc>
          <w:tcPr>
            <w:tcW w:type="dxa" w:w="5472"/>
            <w:tcMar>
              <w:top w:w="80" w:type="dxa"/>
              <w:start w:w="90" w:type="dxa"/>
              <w:bottom w:w="80" w:type="dxa"/>
              <w:end w:w="90" w:type="dxa"/>
            </w:tcMar>
            <w:vAlign w:val="top"/>
          </w:tcPr>
          <w:p>
            <w:pPr>
              <w:spacing w:after="40"/>
            </w:pPr>
            <w:r>
              <w:rPr>
                <w:sz w:val="18"/>
              </w:rPr>
              <w:t>~500 €</w:t>
            </w:r>
          </w:p>
        </w:tc>
      </w:tr>
      <w:tr>
        <w:trPr>
          <w:cantSplit/>
        </w:trPr>
        <w:tc>
          <w:tcPr>
            <w:tcW w:type="dxa" w:w="4608"/>
            <w:tcMar>
              <w:top w:w="80" w:type="dxa"/>
              <w:start w:w="90" w:type="dxa"/>
              <w:bottom w:w="80" w:type="dxa"/>
              <w:end w:w="90" w:type="dxa"/>
            </w:tcMar>
            <w:vAlign w:val="top"/>
            <w:shd w:fill="F7FAFA"/>
          </w:tcPr>
          <w:p>
            <w:pPr>
              <w:spacing w:after="40"/>
            </w:pPr>
            <w:r>
              <w:rPr>
                <w:sz w:val="18"/>
              </w:rPr>
              <w:t>10 000–25 000</w:t>
            </w:r>
          </w:p>
        </w:tc>
        <w:tc>
          <w:tcPr>
            <w:tcW w:type="dxa" w:w="5472"/>
            <w:tcMar>
              <w:top w:w="80" w:type="dxa"/>
              <w:start w:w="90" w:type="dxa"/>
              <w:bottom w:w="80" w:type="dxa"/>
              <w:end w:w="90" w:type="dxa"/>
            </w:tcMar>
            <w:vAlign w:val="top"/>
            <w:shd w:fill="F7FAFA"/>
          </w:tcPr>
          <w:p>
            <w:pPr>
              <w:spacing w:after="40"/>
            </w:pPr>
            <w:r>
              <w:rPr>
                <w:sz w:val="18"/>
              </w:rPr>
              <w:t>~1 000 €</w:t>
            </w:r>
          </w:p>
        </w:tc>
      </w:tr>
      <w:tr>
        <w:trPr>
          <w:cantSplit/>
        </w:trPr>
        <w:tc>
          <w:tcPr>
            <w:tcW w:type="dxa" w:w="4608"/>
            <w:tcMar>
              <w:top w:w="80" w:type="dxa"/>
              <w:start w:w="90" w:type="dxa"/>
              <w:bottom w:w="80" w:type="dxa"/>
              <w:end w:w="90" w:type="dxa"/>
            </w:tcMar>
            <w:vAlign w:val="top"/>
          </w:tcPr>
          <w:p>
            <w:pPr>
              <w:spacing w:after="40"/>
            </w:pPr>
            <w:r>
              <w:rPr>
                <w:sz w:val="18"/>
              </w:rPr>
              <w:t>25 000–50 000</w:t>
            </w:r>
          </w:p>
        </w:tc>
        <w:tc>
          <w:tcPr>
            <w:tcW w:type="dxa" w:w="5472"/>
            <w:tcMar>
              <w:top w:w="80" w:type="dxa"/>
              <w:start w:w="90" w:type="dxa"/>
              <w:bottom w:w="80" w:type="dxa"/>
              <w:end w:w="90" w:type="dxa"/>
            </w:tcMar>
            <w:vAlign w:val="top"/>
          </w:tcPr>
          <w:p>
            <w:pPr>
              <w:spacing w:after="40"/>
            </w:pPr>
            <w:r>
              <w:rPr>
                <w:sz w:val="18"/>
              </w:rPr>
              <w:t>~2 000 €</w:t>
            </w:r>
          </w:p>
        </w:tc>
      </w:tr>
      <w:tr>
        <w:trPr>
          <w:cantSplit/>
        </w:trPr>
        <w:tc>
          <w:tcPr>
            <w:tcW w:type="dxa" w:w="4608"/>
            <w:tcMar>
              <w:top w:w="80" w:type="dxa"/>
              <w:start w:w="90" w:type="dxa"/>
              <w:bottom w:w="80" w:type="dxa"/>
              <w:end w:w="90" w:type="dxa"/>
            </w:tcMar>
            <w:vAlign w:val="top"/>
            <w:shd w:fill="F7FAFA"/>
          </w:tcPr>
          <w:p>
            <w:pPr>
              <w:spacing w:after="40"/>
            </w:pPr>
            <w:r>
              <w:rPr>
                <w:sz w:val="18"/>
              </w:rPr>
              <w:t>50 000–100 000</w:t>
            </w:r>
          </w:p>
        </w:tc>
        <w:tc>
          <w:tcPr>
            <w:tcW w:type="dxa" w:w="5472"/>
            <w:tcMar>
              <w:top w:w="80" w:type="dxa"/>
              <w:start w:w="90" w:type="dxa"/>
              <w:bottom w:w="80" w:type="dxa"/>
              <w:end w:w="90" w:type="dxa"/>
            </w:tcMar>
            <w:vAlign w:val="top"/>
            <w:shd w:fill="F7FAFA"/>
          </w:tcPr>
          <w:p>
            <w:pPr>
              <w:spacing w:after="40"/>
            </w:pPr>
            <w:r>
              <w:rPr>
                <w:sz w:val="18"/>
              </w:rPr>
              <w:t>~3 500 €</w:t>
            </w:r>
          </w:p>
        </w:tc>
      </w:tr>
      <w:tr>
        <w:trPr>
          <w:cantSplit/>
        </w:trPr>
        <w:tc>
          <w:tcPr>
            <w:tcW w:type="dxa" w:w="4608"/>
            <w:tcMar>
              <w:top w:w="80" w:type="dxa"/>
              <w:start w:w="90" w:type="dxa"/>
              <w:bottom w:w="80" w:type="dxa"/>
              <w:end w:w="90" w:type="dxa"/>
            </w:tcMar>
            <w:vAlign w:val="top"/>
          </w:tcPr>
          <w:p>
            <w:pPr>
              <w:spacing w:after="40"/>
            </w:pPr>
            <w:r>
              <w:rPr>
                <w:sz w:val="18"/>
              </w:rPr>
              <w:t>100 000–250 000</w:t>
            </w:r>
          </w:p>
        </w:tc>
        <w:tc>
          <w:tcPr>
            <w:tcW w:type="dxa" w:w="5472"/>
            <w:tcMar>
              <w:top w:w="80" w:type="dxa"/>
              <w:start w:w="90" w:type="dxa"/>
              <w:bottom w:w="80" w:type="dxa"/>
              <w:end w:w="90" w:type="dxa"/>
            </w:tcMar>
            <w:vAlign w:val="top"/>
          </w:tcPr>
          <w:p>
            <w:pPr>
              <w:spacing w:after="40"/>
            </w:pPr>
            <w:r>
              <w:rPr>
                <w:sz w:val="18"/>
              </w:rPr>
              <w:t>~6 000 €</w:t>
            </w:r>
          </w:p>
        </w:tc>
      </w:tr>
      <w:tr>
        <w:trPr>
          <w:cantSplit/>
        </w:trPr>
        <w:tc>
          <w:tcPr>
            <w:tcW w:type="dxa" w:w="4608"/>
            <w:tcMar>
              <w:top w:w="80" w:type="dxa"/>
              <w:start w:w="90" w:type="dxa"/>
              <w:bottom w:w="80" w:type="dxa"/>
              <w:end w:w="90" w:type="dxa"/>
            </w:tcMar>
            <w:vAlign w:val="top"/>
            <w:shd w:fill="F7FAFA"/>
          </w:tcPr>
          <w:p>
            <w:pPr>
              <w:spacing w:after="40"/>
            </w:pPr>
            <w:r>
              <w:rPr>
                <w:sz w:val="18"/>
              </w:rPr>
              <w:t>250 000–500 000</w:t>
            </w:r>
          </w:p>
        </w:tc>
        <w:tc>
          <w:tcPr>
            <w:tcW w:type="dxa" w:w="5472"/>
            <w:tcMar>
              <w:top w:w="80" w:type="dxa"/>
              <w:start w:w="90" w:type="dxa"/>
              <w:bottom w:w="80" w:type="dxa"/>
              <w:end w:w="90" w:type="dxa"/>
            </w:tcMar>
            <w:vAlign w:val="top"/>
            <w:shd w:fill="F7FAFA"/>
          </w:tcPr>
          <w:p>
            <w:pPr>
              <w:spacing w:after="40"/>
            </w:pPr>
            <w:r>
              <w:rPr>
                <w:sz w:val="18"/>
              </w:rPr>
              <w:t>~10 000–15 000 €</w:t>
            </w:r>
          </w:p>
        </w:tc>
      </w:tr>
      <w:tr>
        <w:trPr>
          <w:cantSplit/>
        </w:trPr>
        <w:tc>
          <w:tcPr>
            <w:tcW w:type="dxa" w:w="4608"/>
            <w:tcMar>
              <w:top w:w="80" w:type="dxa"/>
              <w:start w:w="90" w:type="dxa"/>
              <w:bottom w:w="80" w:type="dxa"/>
              <w:end w:w="90" w:type="dxa"/>
            </w:tcMar>
            <w:vAlign w:val="top"/>
          </w:tcPr>
          <w:p>
            <w:pPr>
              <w:spacing w:after="40"/>
            </w:pPr>
            <w:r>
              <w:rPr>
                <w:sz w:val="18"/>
              </w:rPr>
              <w:t>Grande agglomération / métropole</w:t>
            </w:r>
          </w:p>
        </w:tc>
        <w:tc>
          <w:tcPr>
            <w:tcW w:type="dxa" w:w="5472"/>
            <w:tcMar>
              <w:top w:w="80" w:type="dxa"/>
              <w:start w:w="90" w:type="dxa"/>
              <w:bottom w:w="80" w:type="dxa"/>
              <w:end w:w="90" w:type="dxa"/>
            </w:tcMar>
            <w:vAlign w:val="top"/>
          </w:tcPr>
          <w:p>
            <w:pPr>
              <w:spacing w:after="40"/>
            </w:pPr>
            <w:r>
              <w:rPr>
                <w:sz w:val="18"/>
              </w:rPr>
              <w:t>~15 000–30 000 €</w:t>
            </w:r>
          </w:p>
        </w:tc>
      </w:tr>
      <w:tr>
        <w:trPr>
          <w:cantSplit/>
        </w:trPr>
        <w:tc>
          <w:tcPr>
            <w:tcW w:type="dxa" w:w="4608"/>
            <w:tcMar>
              <w:top w:w="80" w:type="dxa"/>
              <w:start w:w="90" w:type="dxa"/>
              <w:bottom w:w="80" w:type="dxa"/>
              <w:end w:w="90" w:type="dxa"/>
            </w:tcMar>
            <w:vAlign w:val="top"/>
            <w:shd w:fill="F7FAFA"/>
          </w:tcPr>
          <w:p>
            <w:pPr>
              <w:spacing w:after="40"/>
            </w:pPr>
            <w:r>
              <w:rPr>
                <w:sz w:val="18"/>
              </w:rPr>
              <w:t>Grand opérateur privé</w:t>
            </w:r>
          </w:p>
        </w:tc>
        <w:tc>
          <w:tcPr>
            <w:tcW w:type="dxa" w:w="5472"/>
            <w:tcMar>
              <w:top w:w="80" w:type="dxa"/>
              <w:start w:w="90" w:type="dxa"/>
              <w:bottom w:w="80" w:type="dxa"/>
              <w:end w:w="90" w:type="dxa"/>
            </w:tcMar>
            <w:vAlign w:val="top"/>
            <w:shd w:fill="F7FAFA"/>
          </w:tcPr>
          <w:p>
            <w:pPr>
              <w:spacing w:after="40"/>
            </w:pPr>
            <w:r>
              <w:rPr>
                <w:sz w:val="18"/>
              </w:rPr>
              <w:t>Sur devis</w:t>
            </w:r>
          </w:p>
        </w:tc>
      </w:tr>
    </w:tbl>
    <w:p/>
    <w:p>
      <w:pPr>
        <w:spacing w:after="100"/>
      </w:pPr>
      <w:r>
        <w:t>Ces montants sont des hypothèses de positionnement, pas des tarifs officiels. La priorité est de rester suffisamment bas pour l’acteur public tout en conservant un modèle économiquement viable.</w:t>
      </w:r>
    </w:p>
    <w:p>
      <w:pPr>
        <w:pStyle w:val="Heading2"/>
        <w:keepNext/>
        <w:spacing w:before="180" w:after="80"/>
      </w:pPr>
      <w:r>
        <w:t>4. Marché, concurrence et stratégie de lancement</w:t>
      </w:r>
    </w:p>
    <w:p>
      <w:pPr>
        <w:spacing w:after="100"/>
      </w:pPr>
      <w:r>
        <w:t>Le benchmark réalisé montre que le marché français des applications citoyennes et des outils de relation collectivité existe déjà. ActiCiv ne doit donc pas se différencier uniquement par le prix, mais par la combinaison universelle : routage automatique + opérations terrain + multi-verticales + accessibilité native.</w:t>
      </w:r>
    </w:p>
    <w:tbl>
      <w:tblPr>
        <w:tblStyle w:val="TableGrid"/>
        <w:tblW w:type="auto" w:w="0"/>
        <w:jc w:val="center"/>
        <w:tblLook w:firstColumn="1" w:firstRow="1" w:lastColumn="0" w:lastRow="0" w:noHBand="0" w:noVBand="1" w:val="04A0"/>
      </w:tblPr>
      <w:tblGrid>
        <w:gridCol w:w="5083"/>
        <w:gridCol w:w="5083"/>
      </w:tblGrid>
      <w:tr>
        <w:trPr>
          <w:cantSplit/>
        </w:trPr>
        <w:tc>
          <w:tcPr>
            <w:tcW w:type="dxa" w:w="3024"/>
            <w:shd w:fill="16324F"/>
            <w:tcMar>
              <w:top w:w="80" w:type="dxa"/>
              <w:start w:w="90" w:type="dxa"/>
              <w:bottom w:w="80" w:type="dxa"/>
              <w:end w:w="90" w:type="dxa"/>
            </w:tcMar>
          </w:tcPr>
          <w:p>
            <w:r>
              <w:rPr>
                <w:b/>
                <w:color w:val="FFFFFF"/>
                <w:sz w:val="18"/>
              </w:rPr>
              <w:t>Acteur / référence</w:t>
            </w:r>
          </w:p>
        </w:tc>
        <w:tc>
          <w:tcPr>
            <w:tcW w:type="dxa" w:w="7056"/>
            <w:shd w:fill="16324F"/>
            <w:tcMar>
              <w:top w:w="80" w:type="dxa"/>
              <w:start w:w="90" w:type="dxa"/>
              <w:bottom w:w="80" w:type="dxa"/>
              <w:end w:w="90" w:type="dxa"/>
            </w:tcMar>
          </w:tcPr>
          <w:p>
            <w:r>
              <w:rPr>
                <w:b/>
                <w:color w:val="FFFFFF"/>
                <w:sz w:val="18"/>
              </w:rPr>
              <w:t>Lecture stratégique pour ActiCiv</w:t>
            </w:r>
          </w:p>
        </w:tc>
      </w:tr>
      <w:tr>
        <w:trPr>
          <w:cantSplit/>
        </w:trPr>
        <w:tc>
          <w:tcPr>
            <w:tcW w:type="dxa" w:w="3024"/>
            <w:tcMar>
              <w:top w:w="80" w:type="dxa"/>
              <w:start w:w="90" w:type="dxa"/>
              <w:bottom w:w="80" w:type="dxa"/>
              <w:end w:w="90" w:type="dxa"/>
            </w:tcMar>
            <w:vAlign w:val="top"/>
          </w:tcPr>
          <w:p>
            <w:pPr>
              <w:spacing w:after="40"/>
            </w:pPr>
            <w:r>
              <w:rPr>
                <w:sz w:val="18"/>
              </w:rPr>
              <w:t>Neocity</w:t>
            </w:r>
          </w:p>
        </w:tc>
        <w:tc>
          <w:tcPr>
            <w:tcW w:type="dxa" w:w="7056"/>
            <w:tcMar>
              <w:top w:w="80" w:type="dxa"/>
              <w:start w:w="90" w:type="dxa"/>
              <w:bottom w:w="80" w:type="dxa"/>
              <w:end w:w="90" w:type="dxa"/>
            </w:tcMar>
            <w:vAlign w:val="top"/>
          </w:tcPr>
          <w:p>
            <w:pPr>
              <w:spacing w:after="40"/>
            </w:pPr>
            <w:r>
              <w:rPr>
                <w:sz w:val="18"/>
              </w:rPr>
              <w:t>Preuve qu’un marché municipal payant existe ; offre plus large de “super-app” territoriale.</w:t>
            </w:r>
          </w:p>
        </w:tc>
      </w:tr>
      <w:tr>
        <w:trPr>
          <w:cantSplit/>
        </w:trPr>
        <w:tc>
          <w:tcPr>
            <w:tcW w:type="dxa" w:w="3024"/>
            <w:tcMar>
              <w:top w:w="80" w:type="dxa"/>
              <w:start w:w="90" w:type="dxa"/>
              <w:bottom w:w="80" w:type="dxa"/>
              <w:end w:w="90" w:type="dxa"/>
            </w:tcMar>
            <w:vAlign w:val="top"/>
            <w:shd w:fill="F7FAFA"/>
          </w:tcPr>
          <w:p>
            <w:pPr>
              <w:spacing w:after="40"/>
            </w:pPr>
            <w:r>
              <w:rPr>
                <w:sz w:val="18"/>
              </w:rPr>
              <w:t>Lumiplan / CityAll</w:t>
            </w:r>
          </w:p>
        </w:tc>
        <w:tc>
          <w:tcPr>
            <w:tcW w:type="dxa" w:w="7056"/>
            <w:tcMar>
              <w:top w:w="80" w:type="dxa"/>
              <w:start w:w="90" w:type="dxa"/>
              <w:bottom w:w="80" w:type="dxa"/>
              <w:end w:w="90" w:type="dxa"/>
            </w:tcMar>
            <w:vAlign w:val="top"/>
            <w:shd w:fill="F7FAFA"/>
          </w:tcPr>
          <w:p>
            <w:pPr>
              <w:spacing w:after="40"/>
            </w:pPr>
            <w:r>
              <w:rPr>
                <w:sz w:val="18"/>
              </w:rPr>
              <w:t>Acteur établi de communication et services urbains.</w:t>
            </w:r>
          </w:p>
        </w:tc>
      </w:tr>
      <w:tr>
        <w:trPr>
          <w:cantSplit/>
        </w:trPr>
        <w:tc>
          <w:tcPr>
            <w:tcW w:type="dxa" w:w="3024"/>
            <w:tcMar>
              <w:top w:w="80" w:type="dxa"/>
              <w:start w:w="90" w:type="dxa"/>
              <w:bottom w:w="80" w:type="dxa"/>
              <w:end w:w="90" w:type="dxa"/>
            </w:tcMar>
            <w:vAlign w:val="top"/>
          </w:tcPr>
          <w:p>
            <w:pPr>
              <w:spacing w:after="40"/>
            </w:pPr>
            <w:r>
              <w:rPr>
                <w:sz w:val="18"/>
              </w:rPr>
              <w:t>IntraMuros</w:t>
            </w:r>
          </w:p>
        </w:tc>
        <w:tc>
          <w:tcPr>
            <w:tcW w:type="dxa" w:w="7056"/>
            <w:tcMar>
              <w:top w:w="80" w:type="dxa"/>
              <w:start w:w="90" w:type="dxa"/>
              <w:bottom w:w="80" w:type="dxa"/>
              <w:end w:w="90" w:type="dxa"/>
            </w:tcMar>
            <w:vAlign w:val="top"/>
          </w:tcPr>
          <w:p>
            <w:pPr>
              <w:spacing w:after="40"/>
            </w:pPr>
            <w:r>
              <w:rPr>
                <w:sz w:val="18"/>
              </w:rPr>
              <w:t>Très forte diffusion dans les communes ; pricing public accessible.</w:t>
            </w:r>
          </w:p>
        </w:tc>
      </w:tr>
      <w:tr>
        <w:trPr>
          <w:cantSplit/>
        </w:trPr>
        <w:tc>
          <w:tcPr>
            <w:tcW w:type="dxa" w:w="3024"/>
            <w:tcMar>
              <w:top w:w="80" w:type="dxa"/>
              <w:start w:w="90" w:type="dxa"/>
              <w:bottom w:w="80" w:type="dxa"/>
              <w:end w:w="90" w:type="dxa"/>
            </w:tcMar>
            <w:vAlign w:val="top"/>
            <w:shd w:fill="F7FAFA"/>
          </w:tcPr>
          <w:p>
            <w:pPr>
              <w:spacing w:after="40"/>
            </w:pPr>
            <w:r>
              <w:rPr>
                <w:sz w:val="18"/>
              </w:rPr>
              <w:t>illiwap</w:t>
            </w:r>
          </w:p>
        </w:tc>
        <w:tc>
          <w:tcPr>
            <w:tcW w:type="dxa" w:w="7056"/>
            <w:tcMar>
              <w:top w:w="80" w:type="dxa"/>
              <w:start w:w="90" w:type="dxa"/>
              <w:bottom w:w="80" w:type="dxa"/>
              <w:end w:w="90" w:type="dxa"/>
            </w:tcMar>
            <w:vAlign w:val="top"/>
            <w:shd w:fill="F7FAFA"/>
          </w:tcPr>
          <w:p>
            <w:pPr>
              <w:spacing w:after="40"/>
            </w:pPr>
            <w:r>
              <w:rPr>
                <w:sz w:val="18"/>
              </w:rPr>
              <w:t>Diffusion importante et modèle abonnement collectivité.</w:t>
            </w:r>
          </w:p>
        </w:tc>
      </w:tr>
      <w:tr>
        <w:trPr>
          <w:cantSplit/>
        </w:trPr>
        <w:tc>
          <w:tcPr>
            <w:tcW w:type="dxa" w:w="3024"/>
            <w:tcMar>
              <w:top w:w="80" w:type="dxa"/>
              <w:start w:w="90" w:type="dxa"/>
              <w:bottom w:w="80" w:type="dxa"/>
              <w:end w:w="90" w:type="dxa"/>
            </w:tcMar>
            <w:vAlign w:val="top"/>
          </w:tcPr>
          <w:p>
            <w:pPr>
              <w:spacing w:after="40"/>
            </w:pPr>
            <w:r>
              <w:rPr>
                <w:sz w:val="18"/>
              </w:rPr>
              <w:t>Citykomi</w:t>
            </w:r>
          </w:p>
        </w:tc>
        <w:tc>
          <w:tcPr>
            <w:tcW w:type="dxa" w:w="7056"/>
            <w:tcMar>
              <w:top w:w="80" w:type="dxa"/>
              <w:start w:w="90" w:type="dxa"/>
              <w:bottom w:w="80" w:type="dxa"/>
              <w:end w:w="90" w:type="dxa"/>
            </w:tcMar>
            <w:vAlign w:val="top"/>
          </w:tcPr>
          <w:p>
            <w:pPr>
              <w:spacing w:after="40"/>
            </w:pPr>
            <w:r>
              <w:rPr>
                <w:sz w:val="18"/>
              </w:rPr>
              <w:t>Référence utile sur le module de signalement et le pricing PME/collectivités.</w:t>
            </w:r>
          </w:p>
        </w:tc>
      </w:tr>
      <w:tr>
        <w:trPr>
          <w:cantSplit/>
        </w:trPr>
        <w:tc>
          <w:tcPr>
            <w:tcW w:type="dxa" w:w="3024"/>
            <w:tcMar>
              <w:top w:w="80" w:type="dxa"/>
              <w:start w:w="90" w:type="dxa"/>
              <w:bottom w:w="80" w:type="dxa"/>
              <w:end w:w="90" w:type="dxa"/>
            </w:tcMar>
            <w:vAlign w:val="top"/>
            <w:shd w:fill="F7FAFA"/>
          </w:tcPr>
          <w:p>
            <w:pPr>
              <w:spacing w:after="40"/>
            </w:pPr>
            <w:r>
              <w:rPr>
                <w:sz w:val="18"/>
              </w:rPr>
              <w:t>CleanCity / AiVeil</w:t>
            </w:r>
          </w:p>
        </w:tc>
        <w:tc>
          <w:tcPr>
            <w:tcW w:type="dxa" w:w="7056"/>
            <w:tcMar>
              <w:top w:w="80" w:type="dxa"/>
              <w:start w:w="90" w:type="dxa"/>
              <w:bottom w:w="80" w:type="dxa"/>
              <w:end w:w="90" w:type="dxa"/>
            </w:tcMar>
            <w:vAlign w:val="top"/>
            <w:shd w:fill="F7FAFA"/>
          </w:tcPr>
          <w:p>
            <w:pPr>
              <w:spacing w:after="40"/>
            </w:pPr>
            <w:r>
              <w:rPr>
                <w:sz w:val="18"/>
              </w:rPr>
              <w:t>Concurrent plus proche sur le signalement photo + GPS + workflow.</w:t>
            </w:r>
          </w:p>
        </w:tc>
      </w:tr>
      <w:tr>
        <w:trPr>
          <w:cantSplit/>
        </w:trPr>
        <w:tc>
          <w:tcPr>
            <w:tcW w:type="dxa" w:w="3024"/>
            <w:tcMar>
              <w:top w:w="80" w:type="dxa"/>
              <w:start w:w="90" w:type="dxa"/>
              <w:bottom w:w="80" w:type="dxa"/>
              <w:end w:w="90" w:type="dxa"/>
            </w:tcMar>
            <w:vAlign w:val="top"/>
          </w:tcPr>
          <w:p>
            <w:pPr>
              <w:spacing w:after="40"/>
            </w:pPr>
            <w:r>
              <w:rPr>
                <w:sz w:val="18"/>
              </w:rPr>
              <w:t>DansMaRue (Paris)</w:t>
            </w:r>
          </w:p>
        </w:tc>
        <w:tc>
          <w:tcPr>
            <w:tcW w:type="dxa" w:w="7056"/>
            <w:tcMar>
              <w:top w:w="80" w:type="dxa"/>
              <w:start w:w="90" w:type="dxa"/>
              <w:bottom w:w="80" w:type="dxa"/>
              <w:end w:w="90" w:type="dxa"/>
            </w:tcMar>
            <w:vAlign w:val="top"/>
          </w:tcPr>
          <w:p>
            <w:pPr>
              <w:spacing w:after="40"/>
            </w:pPr>
            <w:r>
              <w:rPr>
                <w:sz w:val="18"/>
              </w:rPr>
              <w:t>Preuve de volume et d’usage citoyen à grande échelle.</w:t>
            </w:r>
          </w:p>
        </w:tc>
      </w:tr>
      <w:tr>
        <w:trPr>
          <w:cantSplit/>
        </w:trPr>
        <w:tc>
          <w:tcPr>
            <w:tcW w:type="dxa" w:w="3024"/>
            <w:tcMar>
              <w:top w:w="80" w:type="dxa"/>
              <w:start w:w="90" w:type="dxa"/>
              <w:bottom w:w="80" w:type="dxa"/>
              <w:end w:w="90" w:type="dxa"/>
            </w:tcMar>
            <w:vAlign w:val="top"/>
            <w:shd w:fill="F7FAFA"/>
          </w:tcPr>
          <w:p>
            <w:pPr>
              <w:spacing w:after="40"/>
            </w:pPr>
            <w:r>
              <w:rPr>
                <w:sz w:val="18"/>
              </w:rPr>
              <w:t>Acceslibre</w:t>
            </w:r>
          </w:p>
        </w:tc>
        <w:tc>
          <w:tcPr>
            <w:tcW w:type="dxa" w:w="7056"/>
            <w:tcMar>
              <w:top w:w="80" w:type="dxa"/>
              <w:start w:w="90" w:type="dxa"/>
              <w:bottom w:w="80" w:type="dxa"/>
              <w:end w:w="90" w:type="dxa"/>
            </w:tcMar>
            <w:vAlign w:val="top"/>
            <w:shd w:fill="F7FAFA"/>
          </w:tcPr>
          <w:p>
            <w:pPr>
              <w:spacing w:after="40"/>
            </w:pPr>
            <w:r>
              <w:rPr>
                <w:sz w:val="18"/>
              </w:rPr>
              <w:t>Référence accessibilité, mais logique d’information plutôt que workflow temps réel.</w:t>
            </w:r>
          </w:p>
        </w:tc>
      </w:tr>
    </w:tbl>
    <w:p/>
    <w:p>
      <w:pPr>
        <w:spacing w:after="100"/>
      </w:pPr>
      <w:r>
        <w:t>Stratégie de lancement recommandée : commencer par un pilote très concret sur l’accessibilité, avec une organisation capable d’agir rapidement et de mesurer le résultat. Exemples déjà identifiés : commune, police municipale, hôpital, centre commercial, site privé ou acteur associatif/handicap comme relais.</w:t>
      </w:r>
    </w:p>
    <w:p>
      <w:pPr>
        <w:spacing w:after="100"/>
      </w:pPr>
      <w:r>
        <w:t>Le pilote peut s’appuyer sur des QR codes près de zones PMR : scan → signalement → dashboard → intervention → métriques sur 30 à 90 jours.</w:t>
      </w:r>
    </w:p>
    <w:p>
      <w:pPr>
        <w:pStyle w:val="Heading2"/>
        <w:keepNext/>
        <w:spacing w:before="180" w:after="80"/>
      </w:pPr>
      <w:r>
        <w:t>5. Nom, marque et protection du projet</w:t>
      </w:r>
    </w:p>
    <w:p>
      <w:pPr>
        <w:spacing w:after="100"/>
      </w:pPr>
      <w:r>
        <w:t>ActiCiv est le nom de travail retenu. Il n’est pas considéré comme définitivement protégé. Toute l’architecture doit donc permettre un rebranding simple : nom, shortName, slogan, logo, favicon, email support, domaine et assets doivent être centralisés.</w:t>
      </w:r>
    </w:p>
    <w:p>
      <w:pPr>
        <w:pStyle w:val="ListBullet"/>
        <w:spacing w:after="40"/>
      </w:pPr>
      <w:r>
        <w:t>Avant une présentation externe détaillée : envisager une e-Soleau INPI pour dater le concept, les écrans et l’architecture.</w:t>
      </w:r>
    </w:p>
    <w:p>
      <w:pPr>
        <w:pStyle w:val="ListBullet"/>
        <w:spacing w:after="40"/>
      </w:pPr>
      <w:r>
        <w:t>NDA possible pour échanges approfondis, si pertinent.</w:t>
      </w:r>
    </w:p>
    <w:p>
      <w:pPr>
        <w:pStyle w:val="ListBullet"/>
        <w:spacing w:after="40"/>
      </w:pPr>
      <w:r>
        <w:t>Le code, le domaine, les dépôts Git et comptes cloud doivent rester sous contrôle du fondateur / de la société.</w:t>
      </w:r>
    </w:p>
    <w:p>
      <w:pPr>
        <w:spacing w:after="100"/>
      </w:pPr>
      <w:r>
        <w:t>Partenariat potentiel discuté : MC Pao peut être approché lorsque le MVP est démontrable. Une demande initiale de l’ordre de 10–30 k€ a été évoquée comme fourchette de travail, cible indicative ~25 k€, à ajuster selon apport réseau et modalités. Toute cession de capital devra être traitée séparément avec conseil professionnel.</w:t>
      </w:r>
    </w:p>
    <w:p>
      <w:r>
        <w:br w:type="page"/>
      </w:r>
    </w:p>
    <w:p>
      <w:pPr>
        <w:pStyle w:val="Heading1"/>
        <w:keepNext/>
        <w:spacing w:before="180" w:after="80"/>
      </w:pPr>
      <w:r>
        <w:t>Partie B — Produit et expérience citoyenne</w:t>
      </w:r>
    </w:p>
    <w:p>
      <w:pPr>
        <w:pStyle w:val="Heading2"/>
        <w:keepNext/>
        <w:spacing w:before="180" w:after="80"/>
      </w:pPr>
      <w:r>
        <w:t>6. Périmètre MVP et verticales</w:t>
      </w:r>
    </w:p>
    <w:p>
      <w:pPr>
        <w:spacing w:after="100"/>
      </w:pPr>
      <w:r>
        <w:t>Le MVP active une seule verticale : Accessibilité. Les autres verticales restent hors workflow actif mais doivent être possibles par configuration future.</w:t>
      </w:r>
    </w:p>
    <w:tbl>
      <w:tblPr>
        <w:tblStyle w:val="TableGrid"/>
        <w:tblW w:type="auto" w:w="0"/>
        <w:jc w:val="center"/>
        <w:tblLook w:firstColumn="1" w:firstRow="1" w:lastColumn="0" w:lastRow="0" w:noHBand="0" w:noVBand="1" w:val="04A0"/>
      </w:tblPr>
      <w:tblGrid>
        <w:gridCol w:w="5083"/>
        <w:gridCol w:w="5083"/>
      </w:tblGrid>
      <w:tr>
        <w:trPr>
          <w:cantSplit/>
        </w:trPr>
        <w:tc>
          <w:tcPr>
            <w:tcW w:type="dxa" w:w="5472"/>
            <w:shd w:fill="16324F"/>
            <w:tcMar>
              <w:top w:w="80" w:type="dxa"/>
              <w:start w:w="90" w:type="dxa"/>
              <w:bottom w:w="80" w:type="dxa"/>
              <w:end w:w="90" w:type="dxa"/>
            </w:tcMar>
          </w:tcPr>
          <w:p>
            <w:r>
              <w:rPr>
                <w:b/>
                <w:color w:val="FFFFFF"/>
                <w:sz w:val="18"/>
              </w:rPr>
              <w:t>Verticale</w:t>
            </w:r>
          </w:p>
        </w:tc>
        <w:tc>
          <w:tcPr>
            <w:tcW w:type="dxa" w:w="4608"/>
            <w:shd w:fill="16324F"/>
            <w:tcMar>
              <w:top w:w="80" w:type="dxa"/>
              <w:start w:w="90" w:type="dxa"/>
              <w:bottom w:w="80" w:type="dxa"/>
              <w:end w:w="90" w:type="dxa"/>
            </w:tcMar>
          </w:tcPr>
          <w:p>
            <w:r>
              <w:rPr>
                <w:b/>
                <w:color w:val="FFFFFF"/>
                <w:sz w:val="18"/>
              </w:rPr>
              <w:t>Statut MVP</w:t>
            </w:r>
          </w:p>
        </w:tc>
      </w:tr>
      <w:tr>
        <w:trPr>
          <w:cantSplit/>
        </w:trPr>
        <w:tc>
          <w:tcPr>
            <w:tcW w:type="dxa" w:w="5472"/>
            <w:tcMar>
              <w:top w:w="80" w:type="dxa"/>
              <w:start w:w="90" w:type="dxa"/>
              <w:bottom w:w="80" w:type="dxa"/>
              <w:end w:w="90" w:type="dxa"/>
            </w:tcMar>
            <w:vAlign w:val="top"/>
          </w:tcPr>
          <w:p>
            <w:pPr>
              <w:spacing w:after="40"/>
            </w:pPr>
            <w:r>
              <w:rPr>
                <w:sz w:val="18"/>
              </w:rPr>
              <w:t>Accessibilité</w:t>
            </w:r>
          </w:p>
        </w:tc>
        <w:tc>
          <w:tcPr>
            <w:tcW w:type="dxa" w:w="4608"/>
            <w:tcMar>
              <w:top w:w="80" w:type="dxa"/>
              <w:start w:w="90" w:type="dxa"/>
              <w:bottom w:w="80" w:type="dxa"/>
              <w:end w:w="90" w:type="dxa"/>
            </w:tcMar>
            <w:vAlign w:val="top"/>
          </w:tcPr>
          <w:p>
            <w:pPr>
              <w:spacing w:after="40"/>
            </w:pPr>
            <w:r>
              <w:rPr>
                <w:sz w:val="18"/>
              </w:rPr>
              <w:t>Active</w:t>
            </w:r>
          </w:p>
        </w:tc>
      </w:tr>
      <w:tr>
        <w:trPr>
          <w:cantSplit/>
        </w:trPr>
        <w:tc>
          <w:tcPr>
            <w:tcW w:type="dxa" w:w="5472"/>
            <w:tcMar>
              <w:top w:w="80" w:type="dxa"/>
              <w:start w:w="90" w:type="dxa"/>
              <w:bottom w:w="80" w:type="dxa"/>
              <w:end w:w="90" w:type="dxa"/>
            </w:tcMar>
            <w:vAlign w:val="top"/>
            <w:shd w:fill="F7FAFA"/>
          </w:tcPr>
          <w:p>
            <w:pPr>
              <w:spacing w:after="40"/>
            </w:pPr>
            <w:r>
              <w:rPr>
                <w:sz w:val="18"/>
              </w:rPr>
              <w:t>Environnement / mégots / feux</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Dépôts sauvages</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Voirie / nids-de-poule / signalisation</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Éclairage public</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Mobilité douce</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Propreté</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Risques naturels</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Sécurité infrastructure</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Fuites d’eau / hydrants</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Littoral / pollution</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Accessibilité ERP / tourisme</w:t>
            </w:r>
          </w:p>
        </w:tc>
        <w:tc>
          <w:tcPr>
            <w:tcW w:type="dxa" w:w="4608"/>
            <w:tcMar>
              <w:top w:w="80" w:type="dxa"/>
              <w:start w:w="90" w:type="dxa"/>
              <w:bottom w:w="80" w:type="dxa"/>
              <w:end w:w="90" w:type="dxa"/>
            </w:tcMar>
            <w:vAlign w:val="top"/>
            <w:shd w:fill="F7FAFA"/>
          </w:tcPr>
          <w:p>
            <w:pPr>
              <w:spacing w:after="40"/>
            </w:pPr>
            <w:r>
              <w:rPr>
                <w:sz w:val="18"/>
              </w:rPr>
              <w:t>Future</w:t>
            </w:r>
          </w:p>
        </w:tc>
      </w:tr>
    </w:tbl>
    <w:p/>
    <w:p>
      <w:pPr>
        <w:spacing w:after="100"/>
      </w:pPr>
      <w:r>
        <w:t>Modèle de configuration : Verticale → Catégorie → Sous-catégorie éventuelle → Service par défaut → Priorité par défaut → SLA.</w:t>
      </w:r>
    </w:p>
    <w:p>
      <w:pPr>
        <w:pStyle w:val="Heading2"/>
        <w:keepNext/>
        <w:spacing w:before="180" w:after="80"/>
      </w:pPr>
      <w:r>
        <w:t>7. Rôles et gouvernance</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shd w:fill="16324F"/>
            <w:tcMar>
              <w:top w:w="80" w:type="dxa"/>
              <w:start w:w="90" w:type="dxa"/>
              <w:bottom w:w="80" w:type="dxa"/>
              <w:end w:w="90" w:type="dxa"/>
            </w:tcMar>
          </w:tcPr>
          <w:p>
            <w:r>
              <w:rPr>
                <w:b/>
                <w:color w:val="FFFFFF"/>
                <w:sz w:val="18"/>
              </w:rPr>
              <w:t>Rôle</w:t>
            </w:r>
          </w:p>
        </w:tc>
        <w:tc>
          <w:tcPr>
            <w:tcW w:type="dxa" w:w="7776"/>
            <w:shd w:fill="16324F"/>
            <w:tcMar>
              <w:top w:w="80" w:type="dxa"/>
              <w:start w:w="90" w:type="dxa"/>
              <w:bottom w:w="80" w:type="dxa"/>
              <w:end w:w="90" w:type="dxa"/>
            </w:tcMar>
          </w:tcPr>
          <w:p>
            <w:r>
              <w:rPr>
                <w:b/>
                <w:color w:val="FFFFFF"/>
                <w:sz w:val="18"/>
              </w:rPr>
              <w:t>Droits et responsabilités</w:t>
            </w:r>
          </w:p>
        </w:tc>
      </w:tr>
      <w:tr>
        <w:trPr>
          <w:cantSplit/>
        </w:trPr>
        <w:tc>
          <w:tcPr>
            <w:tcW w:type="dxa" w:w="2304"/>
            <w:tcMar>
              <w:top w:w="80" w:type="dxa"/>
              <w:start w:w="90" w:type="dxa"/>
              <w:bottom w:w="80" w:type="dxa"/>
              <w:end w:w="90" w:type="dxa"/>
            </w:tcMar>
            <w:vAlign w:val="top"/>
          </w:tcPr>
          <w:p>
            <w:pPr>
              <w:spacing w:after="40"/>
            </w:pPr>
            <w:r>
              <w:rPr>
                <w:sz w:val="18"/>
              </w:rPr>
              <w:t>Citoyen</w:t>
            </w:r>
          </w:p>
        </w:tc>
        <w:tc>
          <w:tcPr>
            <w:tcW w:type="dxa" w:w="7776"/>
            <w:tcMar>
              <w:top w:w="80" w:type="dxa"/>
              <w:start w:w="90" w:type="dxa"/>
              <w:bottom w:w="80" w:type="dxa"/>
              <w:end w:w="90" w:type="dxa"/>
            </w:tcMar>
            <w:vAlign w:val="top"/>
          </w:tcPr>
          <w:p>
            <w:pPr>
              <w:spacing w:after="40"/>
            </w:pPr>
            <w:r>
              <w:rPr>
                <w:sz w:val="18"/>
              </w:rPr>
              <w:t>Créer sans compte, suivre via token, email facultatif. Aucun accès aux états internes.</w:t>
            </w:r>
          </w:p>
        </w:tc>
      </w:tr>
      <w:tr>
        <w:trPr>
          <w:cantSplit/>
        </w:trPr>
        <w:tc>
          <w:tcPr>
            <w:tcW w:type="dxa" w:w="2304"/>
            <w:tcMar>
              <w:top w:w="80" w:type="dxa"/>
              <w:start w:w="90" w:type="dxa"/>
              <w:bottom w:w="80" w:type="dxa"/>
              <w:end w:w="90" w:type="dxa"/>
            </w:tcMar>
            <w:vAlign w:val="top"/>
            <w:shd w:fill="F7FAFA"/>
          </w:tcPr>
          <w:p>
            <w:pPr>
              <w:spacing w:after="40"/>
            </w:pPr>
            <w:r>
              <w:rPr>
                <w:sz w:val="18"/>
              </w:rPr>
              <w:t>Agent terrain</w:t>
            </w:r>
          </w:p>
        </w:tc>
        <w:tc>
          <w:tcPr>
            <w:tcW w:type="dxa" w:w="7776"/>
            <w:tcMar>
              <w:top w:w="80" w:type="dxa"/>
              <w:start w:w="90" w:type="dxa"/>
              <w:bottom w:w="80" w:type="dxa"/>
              <w:end w:w="90" w:type="dxa"/>
            </w:tcMar>
            <w:vAlign w:val="top"/>
            <w:shd w:fill="F7FAFA"/>
          </w:tcPr>
          <w:p>
            <w:pPr>
              <w:spacing w:after="40"/>
            </w:pPr>
            <w:r>
              <w:rPr>
                <w:sz w:val="18"/>
              </w:rPr>
              <w:t>File de son service, “Je prends”, mes interventions, démarrer, attendre, notes, demander transfert, clôturer.</w:t>
            </w:r>
          </w:p>
        </w:tc>
      </w:tr>
      <w:tr>
        <w:trPr>
          <w:cantSplit/>
        </w:trPr>
        <w:tc>
          <w:tcPr>
            <w:tcW w:type="dxa" w:w="2304"/>
            <w:tcMar>
              <w:top w:w="80" w:type="dxa"/>
              <w:start w:w="90" w:type="dxa"/>
              <w:bottom w:w="80" w:type="dxa"/>
              <w:end w:w="90" w:type="dxa"/>
            </w:tcMar>
            <w:vAlign w:val="top"/>
          </w:tcPr>
          <w:p>
            <w:pPr>
              <w:spacing w:after="40"/>
            </w:pPr>
            <w:r>
              <w:rPr>
                <w:sz w:val="18"/>
              </w:rPr>
              <w:t>Superviseur</w:t>
            </w:r>
          </w:p>
        </w:tc>
        <w:tc>
          <w:tcPr>
            <w:tcW w:type="dxa" w:w="7776"/>
            <w:tcMar>
              <w:top w:w="80" w:type="dxa"/>
              <w:start w:w="90" w:type="dxa"/>
              <w:bottom w:w="80" w:type="dxa"/>
              <w:end w:w="90" w:type="dxa"/>
            </w:tcMar>
            <w:vAlign w:val="top"/>
          </w:tcPr>
          <w:p>
            <w:pPr>
              <w:spacing w:after="40"/>
            </w:pPr>
            <w:r>
              <w:rPr>
                <w:sz w:val="18"/>
              </w:rPr>
              <w:t>Vue service/organisation, assigner/réassigner, priorité, transferts, tiers, SLA, carte, filtres, “À surveiller”.</w:t>
            </w:r>
          </w:p>
        </w:tc>
      </w:tr>
      <w:tr>
        <w:trPr>
          <w:cantSplit/>
        </w:trPr>
        <w:tc>
          <w:tcPr>
            <w:tcW w:type="dxa" w:w="2304"/>
            <w:tcMar>
              <w:top w:w="80" w:type="dxa"/>
              <w:start w:w="90" w:type="dxa"/>
              <w:bottom w:w="80" w:type="dxa"/>
              <w:end w:w="90" w:type="dxa"/>
            </w:tcMar>
            <w:vAlign w:val="top"/>
            <w:shd w:fill="F7FAFA"/>
          </w:tcPr>
          <w:p>
            <w:pPr>
              <w:spacing w:after="40"/>
            </w:pPr>
            <w:r>
              <w:rPr>
                <w:sz w:val="18"/>
              </w:rPr>
              <w:t>Admin client</w:t>
            </w:r>
          </w:p>
        </w:tc>
        <w:tc>
          <w:tcPr>
            <w:tcW w:type="dxa" w:w="7776"/>
            <w:tcMar>
              <w:top w:w="80" w:type="dxa"/>
              <w:start w:w="90" w:type="dxa"/>
              <w:bottom w:w="80" w:type="dxa"/>
              <w:end w:w="90" w:type="dxa"/>
            </w:tcMar>
            <w:vAlign w:val="top"/>
            <w:shd w:fill="F7FAFA"/>
          </w:tcPr>
          <w:p>
            <w:pPr>
              <w:spacing w:after="40"/>
            </w:pPr>
            <w:r>
              <w:rPr>
                <w:sz w:val="18"/>
              </w:rPr>
              <w:t>Utilisateurs, rôles, services, catégories, SLA, horaires, routage interne, notifications, branding. Périmètre contractuel en lecture seule.</w:t>
            </w:r>
          </w:p>
        </w:tc>
      </w:tr>
      <w:tr>
        <w:trPr>
          <w:cantSplit/>
        </w:trPr>
        <w:tc>
          <w:tcPr>
            <w:tcW w:type="dxa" w:w="2304"/>
            <w:tcMar>
              <w:top w:w="80" w:type="dxa"/>
              <w:start w:w="90" w:type="dxa"/>
              <w:bottom w:w="80" w:type="dxa"/>
              <w:end w:w="90" w:type="dxa"/>
            </w:tcMar>
            <w:vAlign w:val="top"/>
          </w:tcPr>
          <w:p>
            <w:pPr>
              <w:spacing w:after="40"/>
            </w:pPr>
            <w:r>
              <w:rPr>
                <w:sz w:val="18"/>
              </w:rPr>
              <w:t>Super-admin ActiCiv</w:t>
            </w:r>
          </w:p>
        </w:tc>
        <w:tc>
          <w:tcPr>
            <w:tcW w:type="dxa" w:w="7776"/>
            <w:tcMar>
              <w:top w:w="80" w:type="dxa"/>
              <w:start w:w="90" w:type="dxa"/>
              <w:bottom w:w="80" w:type="dxa"/>
              <w:end w:w="90" w:type="dxa"/>
            </w:tcMar>
            <w:vAlign w:val="top"/>
          </w:tcPr>
          <w:p>
            <w:pPr>
              <w:spacing w:after="40"/>
            </w:pPr>
            <w:r>
              <w:rPr>
                <w:sz w:val="18"/>
              </w:rPr>
              <w:t>Organisations, périmètres contractuels, plans, volumes, hors couverture, opportunités, erreurs de routage, audit global.</w:t>
            </w:r>
          </w:p>
        </w:tc>
      </w:tr>
    </w:tbl>
    <w:p/>
    <w:p>
      <w:pPr>
        <w:spacing w:after="100"/>
      </w:pPr>
      <w:r>
        <w:t>Le rôle détermine ce qui est visible, modifiable et lisible. L’enforcement est serveur/base, jamais seulement par masquage UI.</w:t>
      </w:r>
    </w:p>
    <w:p>
      <w:pPr>
        <w:pStyle w:val="Heading2"/>
        <w:keepNext/>
        <w:spacing w:before="180" w:after="80"/>
      </w:pPr>
      <w:r>
        <w:t>8. Parcours citoyen détaillé</w:t>
      </w:r>
    </w:p>
    <w:p>
      <w:pPr>
        <w:pStyle w:val="Heading3"/>
        <w:keepNext/>
        <w:spacing w:before="180" w:after="80"/>
      </w:pPr>
      <w:r>
        <w:t>8.1 Accueil</w:t>
      </w:r>
    </w:p>
    <w:p>
      <w:pPr>
        <w:pStyle w:val="ListBullet"/>
        <w:spacing w:after="40"/>
      </w:pPr>
      <w:r>
        <w:t>Logo / marque ActiCiv.</w:t>
      </w:r>
    </w:p>
    <w:p>
      <w:pPr>
        <w:pStyle w:val="ListBullet"/>
        <w:spacing w:after="40"/>
      </w:pPr>
      <w:r>
        <w:t>Accroche : « Vous voyez un problème ? Signalez-le. »</w:t>
      </w:r>
    </w:p>
    <w:p>
      <w:pPr>
        <w:pStyle w:val="ListBullet"/>
        <w:spacing w:after="40"/>
      </w:pPr>
      <w:r>
        <w:t>Explication courte : ActiCiv transmet le signalement au bon acteur.</w:t>
      </w:r>
    </w:p>
    <w:p>
      <w:pPr>
        <w:pStyle w:val="ListBullet"/>
        <w:spacing w:after="40"/>
      </w:pPr>
      <w:r>
        <w:t>CTA principal : « Signaler un problème ».</w:t>
      </w:r>
    </w:p>
    <w:p>
      <w:pPr>
        <w:pStyle w:val="ListBullet"/>
        <w:spacing w:after="40"/>
      </w:pPr>
      <w:r>
        <w:t>Action secondaire discrète : « Suivre un signalement ».</w:t>
      </w:r>
    </w:p>
    <w:p>
      <w:pPr>
        <w:pStyle w:val="ListBullet"/>
        <w:spacing w:after="40"/>
      </w:pPr>
      <w:r>
        <w:t>Réassurance : « Pas besoin de créer de compte. Quelques secondes suffisent. »</w:t>
      </w:r>
    </w:p>
    <w:p>
      <w:pPr>
        <w:pStyle w:val="ListBullet"/>
        <w:spacing w:after="40"/>
      </w:pPr>
      <w:r>
        <w:t>Pas de carte publique ni statistiques sur l’accueil du MVP.</w:t>
      </w:r>
    </w:p>
    <w:p>
      <w:pPr>
        <w:pStyle w:val="Heading3"/>
        <w:keepNext/>
        <w:spacing w:before="180" w:after="80"/>
      </w:pPr>
      <w:r>
        <w:t>8.2 Sélection de catégorie</w:t>
      </w:r>
    </w:p>
    <w:p>
      <w:pPr>
        <w:spacing w:after="100"/>
      </w:pPr>
      <w:r>
        <w:t>Grandes cartes accessibles avec icône + titre + microcopy. Catégories initiales :</w:t>
      </w:r>
    </w:p>
    <w:p>
      <w:pPr>
        <w:pStyle w:val="ListBullet"/>
        <w:spacing w:after="40"/>
      </w:pPr>
      <w:r>
        <w:t>Place PMR occupée</w:t>
      </w:r>
    </w:p>
    <w:p>
      <w:pPr>
        <w:pStyle w:val="ListBullet"/>
        <w:spacing w:after="40"/>
      </w:pPr>
      <w:r>
        <w:t>Accès ou rampe bloqué</w:t>
      </w:r>
    </w:p>
    <w:p>
      <w:pPr>
        <w:pStyle w:val="ListBullet"/>
        <w:spacing w:after="40"/>
      </w:pPr>
      <w:r>
        <w:t>Ascenseur / équipement d’accessibilité indisponible</w:t>
      </w:r>
    </w:p>
    <w:p>
      <w:pPr>
        <w:pStyle w:val="ListBullet"/>
        <w:spacing w:after="40"/>
      </w:pPr>
      <w:r>
        <w:t>Cheminement dangereux ou obstrué</w:t>
      </w:r>
    </w:p>
    <w:p>
      <w:pPr>
        <w:pStyle w:val="ListBullet"/>
        <w:spacing w:after="40"/>
      </w:pPr>
      <w:r>
        <w:t>Autre problème d’accessibilité</w:t>
      </w:r>
    </w:p>
    <w:p>
      <w:pPr>
        <w:spacing w:after="100"/>
      </w:pPr>
      <w:r>
        <w:t>Le champ plaque n’est proposé que pour les catégories où il est pertinent.</w:t>
      </w:r>
    </w:p>
    <w:p>
      <w:pPr>
        <w:pStyle w:val="Heading3"/>
        <w:keepNext/>
        <w:spacing w:before="180" w:after="80"/>
      </w:pPr>
      <w:r>
        <w:t>8.3 Localisation</w:t>
      </w:r>
    </w:p>
    <w:p>
      <w:pPr>
        <w:pStyle w:val="ListBullet"/>
        <w:spacing w:after="40"/>
      </w:pPr>
      <w:r>
        <w:t>Géolocalisation automatique si permission accordée.</w:t>
      </w:r>
    </w:p>
    <w:p>
      <w:pPr>
        <w:pStyle w:val="ListBullet"/>
        <w:spacing w:after="40"/>
      </w:pPr>
      <w:r>
        <w:t>Carte avec pin ajustable manuellement.</w:t>
      </w:r>
    </w:p>
    <w:p>
      <w:pPr>
        <w:pStyle w:val="ListBullet"/>
        <w:spacing w:after="40"/>
      </w:pPr>
      <w:r>
        <w:t>Recherche d’adresse en fallback si refus ou précision insuffisante.</w:t>
      </w:r>
    </w:p>
    <w:p>
      <w:pPr>
        <w:pStyle w:val="ListBullet"/>
        <w:spacing w:after="40"/>
      </w:pPr>
      <w:r>
        <w:t>Confirmation de l’adresse avant envoi.</w:t>
      </w:r>
    </w:p>
    <w:p>
      <w:pPr>
        <w:pStyle w:val="ListBullet"/>
        <w:spacing w:after="40"/>
      </w:pPr>
      <w:r>
        <w:t>Stocker latitude, longitude, accuracy, adresse résolue et source de localisation.</w:t>
      </w:r>
    </w:p>
    <w:p>
      <w:pPr>
        <w:pStyle w:val="ListBullet"/>
        <w:spacing w:after="40"/>
      </w:pPr>
      <w:r>
        <w:t>Routage calculé en arrière-plan ; ne pas exposer la complexité de services au citoyen.</w:t>
      </w:r>
    </w:p>
    <w:p>
      <w:pPr>
        <w:pStyle w:val="Heading3"/>
        <w:keepNext/>
        <w:spacing w:before="180" w:after="80"/>
      </w:pPr>
      <w:r>
        <w:t>8.4 Photo</w:t>
      </w:r>
    </w:p>
    <w:p>
      <w:pPr>
        <w:spacing w:after="100"/>
      </w:pPr>
      <w:r>
        <w:t>La photo est facultative, jusqu’à 3 images.</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Texte de sécurité : « Ajoutez une photo si vous pouvez le faire en toute sécurité. Votre sécurité passe avant le signalement. Si la situation vous met mal à l’aise, continuez sans photo et éloignez-vous. »</w:t>
            </w:r>
          </w:p>
        </w:tc>
      </w:tr>
    </w:tbl>
    <w:p/>
    <w:p>
      <w:pPr>
        <w:pStyle w:val="ListBullet"/>
        <w:spacing w:after="40"/>
      </w:pPr>
      <w:r>
        <w:t>Prendre une photo.</w:t>
      </w:r>
    </w:p>
    <w:p>
      <w:pPr>
        <w:pStyle w:val="ListBullet"/>
        <w:spacing w:after="40"/>
      </w:pPr>
      <w:r>
        <w:t>Choisir depuis les photos.</w:t>
      </w:r>
    </w:p>
    <w:p>
      <w:pPr>
        <w:pStyle w:val="ListBullet"/>
        <w:spacing w:after="40"/>
      </w:pPr>
      <w:r>
        <w:t>Continuer sans photo.</w:t>
      </w:r>
    </w:p>
    <w:p>
      <w:pPr>
        <w:pStyle w:val="ListBullet"/>
        <w:spacing w:after="40"/>
      </w:pPr>
      <w:r>
        <w:t>Pour une place PMR, suggérer si possible de cadrer le véhicule et le marquage PMR, sans jamais encourager à s’approcher ou à confronter une personne.</w:t>
      </w:r>
    </w:p>
    <w:p>
      <w:pPr>
        <w:pStyle w:val="Heading3"/>
        <w:keepNext/>
        <w:spacing w:before="180" w:after="80"/>
      </w:pPr>
      <w:r>
        <w:t>8.5 Détails facultatifs</w:t>
      </w:r>
    </w:p>
    <w:p>
      <w:pPr>
        <w:pStyle w:val="ListBullet"/>
        <w:spacing w:after="40"/>
      </w:pPr>
      <w:r>
        <w:t>Description libre.</w:t>
      </w:r>
    </w:p>
    <w:p>
      <w:pPr>
        <w:pStyle w:val="ListBullet"/>
        <w:spacing w:after="40"/>
      </w:pPr>
      <w:r>
        <w:t>Plaque d’immatriculation si pertinente, saisie manuelle uniquement dans le MVP.</w:t>
      </w:r>
    </w:p>
    <w:p>
      <w:pPr>
        <w:pStyle w:val="ListBullet"/>
        <w:spacing w:after="40"/>
      </w:pPr>
      <w:r>
        <w:t>Email facultatif pour suivi et notifications.</w:t>
      </w:r>
    </w:p>
    <w:p>
      <w:pPr>
        <w:pStyle w:val="ListBullet"/>
        <w:spacing w:after="40"/>
      </w:pPr>
      <w:r>
        <w:t>Aucun nom/prénom requis.</w:t>
      </w:r>
    </w:p>
    <w:p>
      <w:pPr>
        <w:pStyle w:val="Heading3"/>
        <w:keepNext/>
        <w:spacing w:before="180" w:after="80"/>
      </w:pPr>
      <w:r>
        <w:t>8.6 Mini-résumé et envoi</w:t>
      </w:r>
    </w:p>
    <w:p>
      <w:pPr>
        <w:spacing w:after="100"/>
      </w:pPr>
      <w:r>
        <w:t>Pas d’écran récapitulatif lourd. Montrer un résumé compact inline : catégorie, adresse, photos, description, plaque, email si présents. Chaque élément doit être corrigeable.</w:t>
      </w:r>
    </w:p>
    <w:p>
      <w:pPr>
        <w:pStyle w:val="ListBullet"/>
        <w:spacing w:after="40"/>
      </w:pPr>
      <w:r>
        <w:t>CTA : « Envoyer mon signalement ».</w:t>
      </w:r>
    </w:p>
    <w:p>
      <w:pPr>
        <w:pStyle w:val="ListBullet"/>
        <w:spacing w:after="40"/>
      </w:pPr>
      <w:r>
        <w:t>Note courte de confidentialité + lien vers la politique complète.</w:t>
      </w:r>
    </w:p>
    <w:p>
      <w:pPr>
        <w:pStyle w:val="ListBullet"/>
        <w:spacing w:after="40"/>
      </w:pPr>
      <w:r>
        <w:t>Si zone non couverte, rappeler le statut avant envoi.</w:t>
      </w:r>
    </w:p>
    <w:p>
      <w:pPr>
        <w:pStyle w:val="Heading3"/>
        <w:keepNext/>
        <w:spacing w:before="180" w:after="80"/>
      </w:pPr>
      <w:r>
        <w:t>8.7 Suivi citoyen</w:t>
      </w:r>
    </w:p>
    <w:p>
      <w:pPr>
        <w:spacing w:after="100"/>
      </w:pPr>
      <w:r>
        <w:t>Le citoyen voit uniquement : En cours / Résolu / Non résolu / Zone non couverte.</w:t>
      </w:r>
    </w:p>
    <w:p>
      <w:pPr>
        <w:pStyle w:val="ListBullet"/>
        <w:spacing w:after="40"/>
      </w:pPr>
      <w:r>
        <w:t>Suivi via token opaque cryptographiquement fort, jamais l’ID interne.</w:t>
      </w:r>
    </w:p>
    <w:p>
      <w:pPr>
        <w:pStyle w:val="ListBullet"/>
        <w:spacing w:after="40"/>
      </w:pPr>
      <w:r>
        <w:t>Email facultatif et notifications limitées aux changements significatifs, pas aux micro-étapes internes.</w:t>
      </w:r>
    </w:p>
    <w:p>
      <w:pPr>
        <w:pStyle w:val="ListBullet"/>
        <w:spacing w:after="40"/>
      </w:pPr>
      <w:r>
        <w:t>Aucun SLA interne affiché par défaut au citoyen ; possible plus tard par configuration client.</w:t>
      </w:r>
    </w:p>
    <w:p>
      <w:pPr>
        <w:pStyle w:val="Heading2"/>
        <w:keepNext/>
        <w:spacing w:before="180" w:after="80"/>
      </w:pPr>
      <w:r>
        <w:t>9. Zone non couverte et boucle d’acquisition</w:t>
      </w:r>
    </w:p>
    <w:p>
      <w:pPr>
        <w:spacing w:after="100"/>
      </w:pPr>
      <w:r>
        <w:t>La couverture est vérifiée dès la localisation pour éviter de faire perdre du temps. Si aucune organisation ne couvre la zone :</w:t>
      </w:r>
    </w:p>
    <w:p>
      <w:pPr>
        <w:pStyle w:val="ListBullet"/>
        <w:spacing w:after="40"/>
      </w:pPr>
      <w:r>
        <w:t>Informer clairement que la zone n’est pas encore couverte.</w:t>
      </w:r>
    </w:p>
    <w:p>
      <w:pPr>
        <w:pStyle w:val="ListBullet"/>
        <w:spacing w:after="40"/>
      </w:pPr>
      <w:r>
        <w:t>Permettre malgré tout l’enregistrement du signalement.</w:t>
      </w:r>
    </w:p>
    <w:p>
      <w:pPr>
        <w:pStyle w:val="ListBullet"/>
        <w:spacing w:after="40"/>
      </w:pPr>
      <w:r>
        <w:t>Ne pas promettre de transmission automatique.</w:t>
      </w:r>
    </w:p>
    <w:p>
      <w:pPr>
        <w:pStyle w:val="ListBullet"/>
        <w:spacing w:after="40"/>
      </w:pPr>
      <w:r>
        <w:t>Proposer « Être prévenu quand ActiCiv sera disponible ici ».</w:t>
      </w:r>
    </w:p>
    <w:p>
      <w:pPr>
        <w:pStyle w:val="ListBullet"/>
        <w:spacing w:after="40"/>
      </w:pPr>
      <w:r>
        <w:t>Collecter un email seulement si l’utilisateur choisit cette option.</w:t>
      </w:r>
    </w:p>
    <w:p>
      <w:pPr>
        <w:spacing w:after="100"/>
      </w:pPr>
      <w:r>
        <w:t>Ces signalements + demandes d’ouverture constituent un signal de demande territoriale exploitable dans la vue Opportunités du super-admin et dans la prospection commerciale.</w:t>
      </w:r>
    </w:p>
    <w:p>
      <w:pPr>
        <w:pStyle w:val="Heading2"/>
        <w:keepNext/>
        <w:spacing w:before="180" w:after="80"/>
      </w:pPr>
      <w:r>
        <w:t>10. Sécurité citoyenne, anonymat et anti-abus</w:t>
      </w:r>
    </w:p>
    <w:p>
      <w:pPr>
        <w:spacing w:after="100"/>
      </w:pPr>
      <w:r>
        <w:t>Le signalement anonyme reste possible. La lutte contre l’abus doit être proportionnée et ne doit pas casser l’accessibilité ou la simplicité.</w:t>
      </w:r>
    </w:p>
    <w:p>
      <w:pPr>
        <w:pStyle w:val="ListBullet"/>
        <w:spacing w:after="40"/>
      </w:pPr>
      <w:r>
        <w:t>Anti-bot : Cloudflare Turnstile envisagé.</w:t>
      </w:r>
    </w:p>
    <w:p>
      <w:pPr>
        <w:pStyle w:val="ListBullet"/>
        <w:spacing w:after="40"/>
      </w:pPr>
      <w:r>
        <w:t>Rate limiting technique.</w:t>
      </w:r>
    </w:p>
    <w:p>
      <w:pPr>
        <w:pStyle w:val="ListBullet"/>
        <w:spacing w:after="40"/>
      </w:pPr>
      <w:r>
        <w:t>Détection de doublons.</w:t>
      </w:r>
    </w:p>
    <w:p>
      <w:pPr>
        <w:pStyle w:val="ListBullet"/>
        <w:spacing w:after="40"/>
      </w:pPr>
      <w:r>
        <w:t>Statut abusif / non exploitable.</w:t>
      </w:r>
    </w:p>
    <w:p>
      <w:pPr>
        <w:pStyle w:val="ListBullet"/>
        <w:spacing w:after="40"/>
      </w:pPr>
      <w:r>
        <w:t>Journalisation des abus et blocage temporaire possible.</w:t>
      </w:r>
    </w:p>
    <w:p>
      <w:pPr>
        <w:spacing w:after="100"/>
      </w:pPr>
      <w:r>
        <w:t>Règle MVP validée : 10 signalements en moins de 2 minutes depuis le même appareil/IP dans une zone géographique très proche → blocage temporaire, par défaut 15 minutes. Seuils configurables sans code.</w:t>
      </w:r>
    </w:p>
    <w:p>
      <w:pPr>
        <w:spacing w:after="100"/>
      </w:pPr>
      <w:r>
        <w:t>Message neutre : « Vous avez envoyé plusieurs signalements très rapidement. Réessayez dans quelques minutes. »</w:t>
      </w:r>
    </w:p>
    <w:p>
      <w:pPr>
        <w:spacing w:after="100"/>
      </w:pPr>
      <w:r>
        <w:t>Des signalements géographiquement différents ne doivent pas être bloqués mécaniquement par cette règle seule. Pas de moteur de réputation ou d’IA anti-abus avancée dans le MVP.</w:t>
      </w:r>
    </w:p>
    <w:p>
      <w:r>
        <w:br w:type="page"/>
      </w:r>
    </w:p>
    <w:p>
      <w:pPr>
        <w:pStyle w:val="Heading1"/>
        <w:keepNext/>
        <w:spacing w:before="180" w:after="80"/>
      </w:pPr>
      <w:r>
        <w:t>Partie C — Opérations professionnelles</w:t>
      </w:r>
    </w:p>
    <w:p>
      <w:pPr>
        <w:pStyle w:val="Heading2"/>
        <w:keepNext/>
        <w:spacing w:before="180" w:after="80"/>
      </w:pPr>
      <w:r>
        <w:t>11. Agent terrain</w:t>
      </w:r>
    </w:p>
    <w:p>
      <w:pPr>
        <w:spacing w:after="100"/>
      </w:pPr>
      <w:r>
        <w:t>Expérience mobile-first, focalisée sur l’action, sans dashboard surchargé.</w:t>
      </w:r>
    </w:p>
    <w:p>
      <w:pPr>
        <w:pStyle w:val="ListBullet"/>
        <w:spacing w:after="40"/>
      </w:pPr>
      <w:r>
        <w:t>File « À prendre ».</w:t>
      </w:r>
    </w:p>
    <w:p>
      <w:pPr>
        <w:pStyle w:val="ListBullet"/>
        <w:spacing w:after="40"/>
      </w:pPr>
      <w:r>
        <w:t>« Mes interventions ».</w:t>
      </w:r>
    </w:p>
    <w:p>
      <w:pPr>
        <w:pStyle w:val="ListBullet"/>
        <w:spacing w:after="40"/>
      </w:pPr>
      <w:r>
        <w:t>Historique utile.</w:t>
      </w:r>
    </w:p>
    <w:p>
      <w:pPr>
        <w:pStyle w:val="ListBullet"/>
        <w:spacing w:after="40"/>
      </w:pPr>
      <w:r>
        <w:t>Fiche : catégorie, adresse, distance, photo éventuelle, description, plaque éventuelle, priorité, SLA, historique opérationnel minimal.</w:t>
      </w:r>
    </w:p>
    <w:p>
      <w:pPr>
        <w:pStyle w:val="ListBullet"/>
        <w:spacing w:after="40"/>
      </w:pPr>
      <w:r>
        <w:t>Actions : Démarrer l’intervention / Mettre en attente / Clôturer.</w:t>
      </w:r>
    </w:p>
    <w:p>
      <w:pPr>
        <w:spacing w:after="100"/>
      </w:pPr>
      <w:r>
        <w:t>L’agent peut partager volontairement sa position pendant sa tournée. Aucun tracking silencieux. Si la position est désactivée, le tri par distance n’est pas utilisé.</w:t>
      </w:r>
    </w:p>
    <w:p>
      <w:pPr>
        <w:pStyle w:val="Heading2"/>
        <w:keepNext/>
        <w:spacing w:before="180" w:after="80"/>
      </w:pPr>
      <w:r>
        <w:t>12. Supervision</w:t>
      </w:r>
    </w:p>
    <w:p>
      <w:pPr>
        <w:spacing w:after="100"/>
      </w:pPr>
      <w:r>
        <w:t>Expérience desktop/tablette. La liste opérationnelle est l’outil principal, la carte est synchronisée et secondaire.</w:t>
      </w:r>
    </w:p>
    <w:p>
      <w:pPr>
        <w:pStyle w:val="ListBullet"/>
        <w:spacing w:after="40"/>
      </w:pPr>
      <w:r>
        <w:t>Nouveaux signalements.</w:t>
      </w:r>
    </w:p>
    <w:p>
      <w:pPr>
        <w:pStyle w:val="ListBullet"/>
        <w:spacing w:after="40"/>
      </w:pPr>
      <w:r>
        <w:t>Interventions en cours.</w:t>
      </w:r>
    </w:p>
    <w:p>
      <w:pPr>
        <w:pStyle w:val="ListBullet"/>
        <w:spacing w:after="40"/>
      </w:pPr>
      <w:r>
        <w:t>Alertes SLA.</w:t>
      </w:r>
    </w:p>
    <w:p>
      <w:pPr>
        <w:pStyle w:val="ListBullet"/>
        <w:spacing w:after="40"/>
      </w:pPr>
      <w:r>
        <w:t>Carte temps réel.</w:t>
      </w:r>
    </w:p>
    <w:p>
      <w:pPr>
        <w:pStyle w:val="ListBullet"/>
        <w:spacing w:after="40"/>
      </w:pPr>
      <w:r>
        <w:t>Filtres : service, agent, catégorie, zone.</w:t>
      </w:r>
    </w:p>
    <w:p>
      <w:pPr>
        <w:pStyle w:val="ListBullet"/>
        <w:spacing w:after="40"/>
      </w:pPr>
      <w:r>
        <w:t>Assignation / réassignation, priorités, transferts, tiers.</w:t>
      </w:r>
    </w:p>
    <w:p>
      <w:pPr>
        <w:pStyle w:val="ListBullet"/>
        <w:spacing w:after="40"/>
      </w:pPr>
      <w:r>
        <w:t>Bloc « À surveiller » généré automatiquement : urgent non pris, SLA proche, ticket ancien, tiers en retard.</w:t>
      </w:r>
    </w:p>
    <w:p>
      <w:pPr>
        <w:pStyle w:val="Heading2"/>
        <w:keepNext/>
        <w:spacing w:before="180" w:after="80"/>
      </w:pPr>
      <w:r>
        <w:t>13. Workflow, statuts, transferts et tiers</w:t>
      </w:r>
    </w:p>
    <w:p>
      <w:pPr>
        <w:pStyle w:val="Heading3"/>
        <w:keepNext/>
        <w:spacing w:before="180" w:after="80"/>
      </w:pPr>
      <w:r>
        <w:t>13.1 Priorités</w:t>
      </w:r>
    </w:p>
    <w:p>
      <w:pPr>
        <w:spacing w:after="100"/>
      </w:pPr>
      <w:r>
        <w:t>Normal / Important / Urgent. Le citoyen ne choisit jamais la priorité. Une catégorie fournit une priorité par défaut, modifiable par un superviseur autorisé.</w:t>
      </w:r>
    </w:p>
    <w:p>
      <w:pPr>
        <w:pStyle w:val="Heading3"/>
        <w:keepNext/>
        <w:spacing w:before="180" w:after="80"/>
      </w:pPr>
      <w:r>
        <w:t>13.2 File intelligente</w:t>
      </w:r>
    </w:p>
    <w:p>
      <w:pPr>
        <w:spacing w:after="100"/>
      </w:pPr>
      <w:r>
        <w:t>Ordre verrouillé :</w:t>
      </w:r>
    </w:p>
    <w:p>
      <w:pPr>
        <w:spacing w:after="40"/>
      </w:pPr>
      <w:r>
        <w:t>1. Priorité métier / urgence.</w:t>
      </w:r>
    </w:p>
    <w:p>
      <w:pPr>
        <w:spacing w:after="40"/>
      </w:pPr>
      <w:r>
        <w:t>2. À priorité égale : distance par rapport à l’agent si position disponible.</w:t>
      </w:r>
    </w:p>
    <w:p>
      <w:pPr>
        <w:spacing w:after="40"/>
      </w:pPr>
      <w:r>
        <w:t>3. Ancienneté.</w:t>
      </w:r>
    </w:p>
    <w:p>
      <w:pPr>
        <w:spacing w:after="40"/>
      </w:pPr>
      <w:r>
        <w:t>4. Risque SLA / échéance.</w:t>
      </w:r>
    </w:p>
    <w:p>
      <w:pPr>
        <w:spacing w:after="100"/>
      </w:pPr>
      <w:r>
        <w:t>La distance ne peut jamais faire passer un incident moins prioritaire devant un incident plus prioritaire. Sans position agent : priorité → ancienneté/SLA. Affichage explicable, ex. « Important · 620 m · reçu il y a 8 min ». Pas de score opaque.</w:t>
      </w:r>
    </w:p>
    <w:p>
      <w:pPr>
        <w:pStyle w:val="Heading3"/>
        <w:keepNext/>
        <w:spacing w:before="180" w:after="80"/>
      </w:pPr>
      <w:r>
        <w:t>13.3 “Je prends”</w:t>
      </w:r>
    </w:p>
    <w:p>
      <w:pPr>
        <w:spacing w:after="100"/>
      </w:pPr>
      <w:r>
        <w:t>L’action doit atomiquement assigner le signalement à l’agent, le retirer de la file partagée et l’ajouter à Mes interventions. Deux agents ne doivent jamais réussir simultanément.</w:t>
      </w:r>
    </w:p>
    <w:p>
      <w:pPr>
        <w:pStyle w:val="Heading3"/>
        <w:keepNext/>
        <w:spacing w:before="180" w:after="80"/>
      </w:pPr>
      <w:r>
        <w:t>13.4 Statuts internes</w:t>
      </w:r>
    </w:p>
    <w:p>
      <w:pPr>
        <w:pStyle w:val="ListBullet"/>
        <w:spacing w:after="40"/>
      </w:pPr>
      <w:r>
        <w:t>Reçu</w:t>
      </w:r>
    </w:p>
    <w:p>
      <w:pPr>
        <w:pStyle w:val="ListBullet"/>
        <w:spacing w:after="40"/>
      </w:pPr>
      <w:r>
        <w:t>Pris en charge</w:t>
      </w:r>
    </w:p>
    <w:p>
      <w:pPr>
        <w:pStyle w:val="ListBullet"/>
        <w:spacing w:after="40"/>
      </w:pPr>
      <w:r>
        <w:t>Intervention en cours</w:t>
      </w:r>
    </w:p>
    <w:p>
      <w:pPr>
        <w:pStyle w:val="ListBullet"/>
        <w:spacing w:after="40"/>
      </w:pPr>
      <w:r>
        <w:t>En attente</w:t>
      </w:r>
    </w:p>
    <w:p>
      <w:pPr>
        <w:pStyle w:val="ListBullet"/>
        <w:spacing w:after="40"/>
      </w:pPr>
      <w:r>
        <w:t>Résolu</w:t>
      </w:r>
    </w:p>
    <w:p>
      <w:pPr>
        <w:pStyle w:val="ListBullet"/>
        <w:spacing w:after="40"/>
      </w:pPr>
      <w:r>
        <w:t>Non résolu</w:t>
      </w:r>
    </w:p>
    <w:p>
      <w:pPr>
        <w:spacing w:after="100"/>
      </w:pPr>
      <w:r>
        <w:t>En attente peut revenir vers Intervention en cours. Les transitions doivent être définies côté domaine/backend et testées.</w:t>
      </w:r>
    </w:p>
    <w:p>
      <w:pPr>
        <w:pStyle w:val="Heading3"/>
        <w:keepNext/>
        <w:spacing w:before="180" w:after="80"/>
      </w:pPr>
      <w:r>
        <w:t>13.5 Motifs d’attente</w:t>
      </w:r>
    </w:p>
    <w:p>
      <w:pPr>
        <w:pStyle w:val="ListBullet"/>
        <w:spacing w:after="40"/>
      </w:pPr>
      <w:r>
        <w:t>Attente service technique</w:t>
      </w:r>
    </w:p>
    <w:p>
      <w:pPr>
        <w:pStyle w:val="ListBullet"/>
        <w:spacing w:after="40"/>
      </w:pPr>
      <w:r>
        <w:t>Attente prestataire</w:t>
      </w:r>
    </w:p>
    <w:p>
      <w:pPr>
        <w:pStyle w:val="ListBullet"/>
        <w:spacing w:after="40"/>
      </w:pPr>
      <w:r>
        <w:t>Accès impossible</w:t>
      </w:r>
    </w:p>
    <w:p>
      <w:pPr>
        <w:pStyle w:val="ListBullet"/>
        <w:spacing w:after="40"/>
      </w:pPr>
      <w:r>
        <w:t>Ressource indisponible</w:t>
      </w:r>
    </w:p>
    <w:p>
      <w:pPr>
        <w:pStyle w:val="ListBullet"/>
        <w:spacing w:after="40"/>
      </w:pPr>
      <w:r>
        <w:t>Intervention d’un tiers requise</w:t>
      </w:r>
    </w:p>
    <w:p>
      <w:pPr>
        <w:pStyle w:val="ListBullet"/>
        <w:spacing w:after="40"/>
      </w:pPr>
      <w:r>
        <w:t>Autre</w:t>
      </w:r>
    </w:p>
    <w:p>
      <w:pPr>
        <w:pStyle w:val="Heading3"/>
        <w:keepNext/>
        <w:spacing w:before="180" w:after="80"/>
      </w:pPr>
      <w:r>
        <w:t>13.6 Intervention d’un tiers</w:t>
      </w:r>
    </w:p>
    <w:p>
      <w:pPr>
        <w:pStyle w:val="ListBullet"/>
        <w:spacing w:after="40"/>
      </w:pPr>
      <w:r>
        <w:t>Le signalement reste propriété de l’organisation d’origine.</w:t>
      </w:r>
    </w:p>
    <w:p>
      <w:pPr>
        <w:pStyle w:val="ListBullet"/>
        <w:spacing w:after="40"/>
      </w:pPr>
      <w:r>
        <w:t>Le superviseur enregistre le tiers contacté, la date/heure de contact et éventuellement la relance prévue.</w:t>
      </w:r>
    </w:p>
    <w:p>
      <w:pPr>
        <w:pStyle w:val="ListBullet"/>
        <w:spacing w:after="40"/>
      </w:pPr>
      <w:r>
        <w:t>Le citoyen continue à voir seulement « En cours ».</w:t>
      </w:r>
    </w:p>
    <w:p>
      <w:pPr>
        <w:pStyle w:val="ListBullet"/>
        <w:spacing w:after="40"/>
      </w:pPr>
      <w:r>
        <w:t>Pas de compte externe pour le tiers dans le MVP.</w:t>
      </w:r>
    </w:p>
    <w:p>
      <w:pPr>
        <w:pStyle w:val="Heading3"/>
        <w:keepNext/>
        <w:spacing w:before="180" w:after="80"/>
      </w:pPr>
      <w:r>
        <w:t>13.7 Transferts</w:t>
      </w:r>
    </w:p>
    <w:p>
      <w:pPr>
        <w:pStyle w:val="ListBullet"/>
        <w:spacing w:after="40"/>
      </w:pPr>
      <w:r>
        <w:t>L’agent demande un transfert ; il ne transfère pas librement.</w:t>
      </w:r>
    </w:p>
    <w:p>
      <w:pPr>
        <w:pStyle w:val="ListBullet"/>
        <w:spacing w:after="40"/>
      </w:pPr>
      <w:r>
        <w:t>Superviseur/admin valide et exécute.</w:t>
      </w:r>
    </w:p>
    <w:p>
      <w:pPr>
        <w:pStyle w:val="ListBullet"/>
        <w:spacing w:after="40"/>
      </w:pPr>
      <w:r>
        <w:t>Un propriétaire principal du signalement dans le MVP.</w:t>
      </w:r>
    </w:p>
    <w:p>
      <w:pPr>
        <w:pStyle w:val="ListBullet"/>
        <w:spacing w:after="40"/>
      </w:pPr>
      <w:r>
        <w:t>Historique intégral conservé.</w:t>
      </w:r>
    </w:p>
    <w:p>
      <w:pPr>
        <w:pStyle w:val="Heading2"/>
        <w:keepNext/>
        <w:spacing w:before="180" w:after="80"/>
      </w:pPr>
      <w:r>
        <w:t>14. Routage, territoires et contrats</w:t>
      </w:r>
    </w:p>
    <w:p>
      <w:pPr>
        <w:spacing w:after="100"/>
      </w:pPr>
      <w:r>
        <w:t>Le territoire est un domaine de premier ordre, pas un simple champ “ville”. Le modèle logique supporte : Métropole → Commune → Site → Service.</w:t>
      </w:r>
    </w:p>
    <w:p>
      <w:pPr>
        <w:pStyle w:val="ListBullet"/>
        <w:spacing w:after="40"/>
      </w:pPr>
      <w:r>
        <w:t>Chaîne : GPS + catégorie + périmètre contractuel → organisation + service.</w:t>
      </w:r>
    </w:p>
    <w:p>
      <w:pPr>
        <w:pStyle w:val="ListBullet"/>
        <w:spacing w:after="40"/>
      </w:pPr>
      <w:r>
        <w:t>Si aucun acteur couvert : hors couverture / opportunité.</w:t>
      </w:r>
    </w:p>
    <w:p>
      <w:pPr>
        <w:pStyle w:val="ListBullet"/>
        <w:spacing w:after="40"/>
      </w:pPr>
      <w:r>
        <w:t>Les services internes sont des entités du modèle dès le MVP.</w:t>
      </w:r>
    </w:p>
    <w:p>
      <w:pPr>
        <w:spacing w:after="100"/>
      </w:pPr>
      <w:r>
        <w:t>Distinction essentielle :</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shd w:fill="16324F"/>
            <w:tcMar>
              <w:top w:w="80" w:type="dxa"/>
              <w:start w:w="90" w:type="dxa"/>
              <w:bottom w:w="80" w:type="dxa"/>
              <w:end w:w="90" w:type="dxa"/>
            </w:tcMar>
          </w:tcPr>
          <w:p>
            <w:r>
              <w:rPr>
                <w:b/>
                <w:color w:val="FFFFFF"/>
                <w:sz w:val="18"/>
              </w:rPr>
              <w:t>Concept</w:t>
            </w:r>
          </w:p>
        </w:tc>
        <w:tc>
          <w:tcPr>
            <w:tcW w:type="dxa" w:w="2880"/>
            <w:shd w:fill="16324F"/>
            <w:tcMar>
              <w:top w:w="80" w:type="dxa"/>
              <w:start w:w="90" w:type="dxa"/>
              <w:bottom w:w="80" w:type="dxa"/>
              <w:end w:w="90" w:type="dxa"/>
            </w:tcMar>
          </w:tcPr>
          <w:p>
            <w:r>
              <w:rPr>
                <w:b/>
                <w:color w:val="FFFFFF"/>
                <w:sz w:val="18"/>
              </w:rPr>
              <w:t>Responsable</w:t>
            </w:r>
          </w:p>
        </w:tc>
        <w:tc>
          <w:tcPr>
            <w:tcW w:type="dxa" w:w="4320"/>
            <w:shd w:fill="16324F"/>
            <w:tcMar>
              <w:top w:w="80" w:type="dxa"/>
              <w:start w:w="90" w:type="dxa"/>
              <w:bottom w:w="80" w:type="dxa"/>
              <w:end w:w="90" w:type="dxa"/>
            </w:tcMar>
          </w:tcPr>
          <w:p>
            <w:r>
              <w:rPr>
                <w:b/>
                <w:color w:val="FFFFFF"/>
                <w:sz w:val="18"/>
              </w:rPr>
              <w:t>Règle</w:t>
            </w:r>
          </w:p>
        </w:tc>
      </w:tr>
      <w:tr>
        <w:trPr>
          <w:cantSplit/>
        </w:trPr>
        <w:tc>
          <w:tcPr>
            <w:tcW w:type="dxa" w:w="2880"/>
            <w:tcMar>
              <w:top w:w="80" w:type="dxa"/>
              <w:start w:w="90" w:type="dxa"/>
              <w:bottom w:w="80" w:type="dxa"/>
              <w:end w:w="90" w:type="dxa"/>
            </w:tcMar>
            <w:vAlign w:val="top"/>
          </w:tcPr>
          <w:p>
            <w:pPr>
              <w:spacing w:after="40"/>
            </w:pPr>
            <w:r>
              <w:rPr>
                <w:sz w:val="18"/>
              </w:rPr>
              <w:t>Périmètre contractuel</w:t>
            </w:r>
          </w:p>
        </w:tc>
        <w:tc>
          <w:tcPr>
            <w:tcW w:type="dxa" w:w="2880"/>
            <w:tcMar>
              <w:top w:w="80" w:type="dxa"/>
              <w:start w:w="90" w:type="dxa"/>
              <w:bottom w:w="80" w:type="dxa"/>
              <w:end w:w="90" w:type="dxa"/>
            </w:tcMar>
            <w:vAlign w:val="top"/>
          </w:tcPr>
          <w:p>
            <w:pPr>
              <w:spacing w:after="40"/>
            </w:pPr>
            <w:r>
              <w:rPr>
                <w:sz w:val="18"/>
              </w:rPr>
              <w:t>Super-admin ActiCiv</w:t>
            </w:r>
          </w:p>
        </w:tc>
        <w:tc>
          <w:tcPr>
            <w:tcW w:type="dxa" w:w="4320"/>
            <w:tcMar>
              <w:top w:w="80" w:type="dxa"/>
              <w:start w:w="90" w:type="dxa"/>
              <w:bottom w:w="80" w:type="dxa"/>
              <w:end w:w="90" w:type="dxa"/>
            </w:tcMar>
            <w:vAlign w:val="top"/>
          </w:tcPr>
          <w:p>
            <w:pPr>
              <w:spacing w:after="40"/>
            </w:pPr>
            <w:r>
              <w:rPr>
                <w:sz w:val="18"/>
              </w:rPr>
              <w:t>Définit les territoires/sites/services inclus dans le contrat. Le client ne peut pas l’étendre.</w:t>
            </w:r>
          </w:p>
        </w:tc>
      </w:tr>
      <w:tr>
        <w:trPr>
          <w:cantSplit/>
        </w:trPr>
        <w:tc>
          <w:tcPr>
            <w:tcW w:type="dxa" w:w="2880"/>
            <w:tcMar>
              <w:top w:w="80" w:type="dxa"/>
              <w:start w:w="90" w:type="dxa"/>
              <w:bottom w:w="80" w:type="dxa"/>
              <w:end w:w="90" w:type="dxa"/>
            </w:tcMar>
            <w:vAlign w:val="top"/>
            <w:shd w:fill="F7FAFA"/>
          </w:tcPr>
          <w:p>
            <w:pPr>
              <w:spacing w:after="40"/>
            </w:pPr>
            <w:r>
              <w:rPr>
                <w:sz w:val="18"/>
              </w:rPr>
              <w:t>Routage opérationnel</w:t>
            </w:r>
          </w:p>
        </w:tc>
        <w:tc>
          <w:tcPr>
            <w:tcW w:type="dxa" w:w="2880"/>
            <w:tcMar>
              <w:top w:w="80" w:type="dxa"/>
              <w:start w:w="90" w:type="dxa"/>
              <w:bottom w:w="80" w:type="dxa"/>
              <w:end w:w="90" w:type="dxa"/>
            </w:tcMar>
            <w:vAlign w:val="top"/>
            <w:shd w:fill="F7FAFA"/>
          </w:tcPr>
          <w:p>
            <w:pPr>
              <w:spacing w:after="40"/>
            </w:pPr>
            <w:r>
              <w:rPr>
                <w:sz w:val="18"/>
              </w:rPr>
              <w:t>Admin client dans son périmètre</w:t>
            </w:r>
          </w:p>
        </w:tc>
        <w:tc>
          <w:tcPr>
            <w:tcW w:type="dxa" w:w="4320"/>
            <w:tcMar>
              <w:top w:w="80" w:type="dxa"/>
              <w:start w:w="90" w:type="dxa"/>
              <w:bottom w:w="80" w:type="dxa"/>
              <w:end w:w="90" w:type="dxa"/>
            </w:tcMar>
            <w:vAlign w:val="top"/>
            <w:shd w:fill="F7FAFA"/>
          </w:tcPr>
          <w:p>
            <w:pPr>
              <w:spacing w:after="40"/>
            </w:pPr>
            <w:r>
              <w:rPr>
                <w:sz w:val="18"/>
              </w:rPr>
              <w:t>Configure les règles internes, services et sous-zones autorisées.</w:t>
            </w:r>
          </w:p>
        </w:tc>
      </w:tr>
    </w:tbl>
    <w:p/>
    <w:p>
      <w:pPr>
        <w:spacing w:after="100"/>
      </w:pPr>
      <w:r>
        <w:t>Le modèle stocke dès le départ plan, contract_scope, territoires/sites/services inclus et statut contractuel. Pas de facturation automatique dans le MVP.</w:t>
      </w:r>
    </w:p>
    <w:p>
      <w:pPr>
        <w:pStyle w:val="Heading2"/>
        <w:keepNext/>
        <w:spacing w:before="180" w:after="80"/>
      </w:pPr>
      <w:r>
        <w:t>15. SLA, horaires et notifications</w:t>
      </w:r>
    </w:p>
    <w:p>
      <w:pPr>
        <w:pStyle w:val="Heading3"/>
        <w:keepNext/>
        <w:spacing w:before="180" w:after="80"/>
      </w:pPr>
      <w:r>
        <w:t>15.1 SLA</w:t>
      </w:r>
    </w:p>
    <w:p>
      <w:pPr>
        <w:pStyle w:val="ListBullet"/>
        <w:spacing w:after="40"/>
      </w:pPr>
      <w:r>
        <w:t>Configurables par organisation, service et éventuellement catégorie.</w:t>
      </w:r>
    </w:p>
    <w:p>
      <w:pPr>
        <w:pStyle w:val="ListBullet"/>
        <w:spacing w:after="40"/>
      </w:pPr>
      <w:r>
        <w:t>Cibles possibles : prise en charge, intervention, résolution.</w:t>
      </w:r>
    </w:p>
    <w:p>
      <w:pPr>
        <w:pStyle w:val="ListBullet"/>
        <w:spacing w:after="40"/>
      </w:pPr>
      <w:r>
        <w:t>États dashboard : dans les temps / proche dépassement / dépassé / temps restant.</w:t>
      </w:r>
    </w:p>
    <w:p>
      <w:pPr>
        <w:pStyle w:val="ListBullet"/>
        <w:spacing w:after="40"/>
      </w:pPr>
      <w:r>
        <w:t>Les SLA tiennent compte des horaires de service.</w:t>
      </w:r>
    </w:p>
    <w:p>
      <w:pPr>
        <w:pStyle w:val="Heading3"/>
        <w:keepNext/>
        <w:spacing w:before="180" w:after="80"/>
      </w:pPr>
      <w:r>
        <w:t>15.2 Horaires de service</w:t>
      </w:r>
    </w:p>
    <w:p>
      <w:pPr>
        <w:spacing w:after="100"/>
      </w:pPr>
      <w:r>
        <w:t>Exemples : Voirie lun–ven 08:00–18:00 ; Sécurité hôpital 24/7. Les signalements hors horaires peuvent être marqués comme reçus hors fenêtre et le calcul du SLA doit suspendre/adapter le temps selon la règle choisie.</w:t>
      </w:r>
    </w:p>
    <w:p>
      <w:pPr>
        <w:pStyle w:val="Heading3"/>
        <w:keepNext/>
        <w:spacing w:before="180" w:after="80"/>
      </w:pPr>
      <w:r>
        <w:t>15.3 Notifications professionnelles</w:t>
      </w:r>
    </w:p>
    <w:p>
      <w:pPr>
        <w:spacing w:after="100"/>
      </w:pPr>
      <w:r>
        <w:t>MVP : notifications dans le dashboard + email. Événements configurables : nouveau signalement, urgent, SLA proche, SLA dépassé, assigné à moi. Pas de SMS ni push mobile dans le MVP.</w:t>
      </w:r>
    </w:p>
    <w:p>
      <w:pPr>
        <w:pStyle w:val="Heading2"/>
        <w:keepNext/>
        <w:spacing w:before="180" w:after="80"/>
      </w:pPr>
      <w:r>
        <w:t>16. Doublons, clôture, notes et historique</w:t>
      </w:r>
    </w:p>
    <w:p>
      <w:pPr>
        <w:pStyle w:val="Heading3"/>
        <w:keepNext/>
        <w:spacing w:before="180" w:after="80"/>
      </w:pPr>
      <w:r>
        <w:t>16.1 Doublons</w:t>
      </w:r>
    </w:p>
    <w:p>
      <w:pPr>
        <w:spacing w:after="100"/>
      </w:pPr>
      <w:r>
        <w:t>Suggestion de doublon basée sur proximité géographique + catégorie + proximité temporelle, et éventuellement plaque lorsqu’elle existe. Exemple : « Doublon probable – même catégorie · 42 m · 8 min ».</w:t>
      </w:r>
    </w:p>
    <w:p>
      <w:pPr>
        <w:pStyle w:val="ListBullet"/>
        <w:spacing w:after="40"/>
      </w:pPr>
      <w:r>
        <w:t>Comparer.</w:t>
      </w:r>
    </w:p>
    <w:p>
      <w:pPr>
        <w:pStyle w:val="ListBullet"/>
        <w:spacing w:after="40"/>
      </w:pPr>
      <w:r>
        <w:t>Fusionner.</w:t>
      </w:r>
    </w:p>
    <w:p>
      <w:pPr>
        <w:pStyle w:val="ListBullet"/>
        <w:spacing w:after="40"/>
      </w:pPr>
      <w:r>
        <w:t>Ignorer.</w:t>
      </w:r>
    </w:p>
    <w:p>
      <w:pPr>
        <w:spacing w:after="100"/>
      </w:pPr>
      <w:r>
        <w:t>Aucune fusion automatique. La décision reste humaine.</w:t>
      </w:r>
    </w:p>
    <w:p>
      <w:pPr>
        <w:pStyle w:val="Heading3"/>
        <w:keepNext/>
        <w:spacing w:before="180" w:after="80"/>
      </w:pPr>
      <w:r>
        <w:t>16.2 Clôture</w:t>
      </w:r>
    </w:p>
    <w:p>
      <w:pPr>
        <w:spacing w:after="100"/>
      </w:pPr>
      <w:r>
        <w:t>Pas de photo “après intervention” obligatoire dans le MVP. Lors de la clôture, stocker statut final, motif, note interne facultative, horodatage et agent de traitement.</w:t>
      </w:r>
    </w:p>
    <w:p>
      <w:pPr>
        <w:spacing w:after="100"/>
      </w:pPr>
      <w:r>
        <w:t>Motifs structurés de départ : résolu ; problème déjà disparu ; non confirmé ; intervention impossible ; transféré ; autre.</w:t>
      </w:r>
    </w:p>
    <w:p>
      <w:pPr>
        <w:pStyle w:val="Heading3"/>
        <w:keepNext/>
        <w:spacing w:before="180" w:after="80"/>
      </w:pPr>
      <w:r>
        <w:t>16.3 Notes internes</w:t>
      </w:r>
    </w:p>
    <w:p>
      <w:pPr>
        <w:spacing w:after="100"/>
      </w:pPr>
      <w:r>
        <w:t>Fil de notes simple réservé aux professionnels autorisés, par exemple « Je suis en route », « sécurité prévenue », « attente technique ». Pas de documents ou audio dans le MVP.</w:t>
      </w:r>
    </w:p>
    <w:p>
      <w:pPr>
        <w:pStyle w:val="Heading3"/>
        <w:keepNext/>
        <w:spacing w:before="180" w:after="80"/>
      </w:pPr>
      <w:r>
        <w:t>16.4 Audit</w:t>
      </w:r>
    </w:p>
    <w:p>
      <w:pPr>
        <w:spacing w:after="100"/>
      </w:pPr>
      <w:r>
        <w:t>Au minimum : création, statut, prise en charge, assignation/réassignation, priorité, transfert demandé/validé, attente, tiers, clôture, changement SLA, changement territoire/routage, rôle utilisateur, branding. Chaque événement inclut qui, quoi, quand, objet et old→new si applicable.</w:t>
      </w:r>
    </w:p>
    <w:p>
      <w:pPr>
        <w:pStyle w:val="Heading2"/>
        <w:keepNext/>
        <w:spacing w:before="180" w:after="80"/>
      </w:pPr>
      <w:r>
        <w:t>17. Analytics et opportunités</w:t>
      </w:r>
    </w:p>
    <w:p>
      <w:pPr>
        <w:pStyle w:val="Heading3"/>
        <w:keepNext/>
        <w:spacing w:before="180" w:after="80"/>
      </w:pPr>
      <w:r>
        <w:t>17.1 KPI opérationnels</w:t>
      </w:r>
    </w:p>
    <w:p>
      <w:pPr>
        <w:pStyle w:val="ListBullet"/>
        <w:spacing w:after="40"/>
      </w:pPr>
      <w:r>
        <w:t>Nombre de signalements</w:t>
      </w:r>
    </w:p>
    <w:p>
      <w:pPr>
        <w:pStyle w:val="ListBullet"/>
        <w:spacing w:after="40"/>
      </w:pPr>
      <w:r>
        <w:t>Nouveaux / en cours / résolus</w:t>
      </w:r>
    </w:p>
    <w:p>
      <w:pPr>
        <w:pStyle w:val="ListBullet"/>
        <w:spacing w:after="40"/>
      </w:pPr>
      <w:r>
        <w:t>Délai moyen + médian de première prise en charge</w:t>
      </w:r>
    </w:p>
    <w:p>
      <w:pPr>
        <w:pStyle w:val="ListBullet"/>
        <w:spacing w:after="40"/>
      </w:pPr>
      <w:r>
        <w:t>Délai moyen + médian de résolution</w:t>
      </w:r>
    </w:p>
    <w:p>
      <w:pPr>
        <w:pStyle w:val="ListBullet"/>
        <w:spacing w:after="40"/>
      </w:pPr>
      <w:r>
        <w:t>Taux de respect SLA</w:t>
      </w:r>
    </w:p>
    <w:p>
      <w:pPr>
        <w:pStyle w:val="ListBullet"/>
        <w:spacing w:after="40"/>
      </w:pPr>
      <w:r>
        <w:t>Répartition par catégorie</w:t>
      </w:r>
    </w:p>
    <w:p>
      <w:pPr>
        <w:pStyle w:val="ListBullet"/>
        <w:spacing w:after="40"/>
      </w:pPr>
      <w:r>
        <w:t>Répartition par service</w:t>
      </w:r>
    </w:p>
    <w:p>
      <w:pPr>
        <w:pStyle w:val="ListBullet"/>
        <w:spacing w:after="40"/>
      </w:pPr>
      <w:r>
        <w:t>Volume par zone</w:t>
      </w:r>
    </w:p>
    <w:p>
      <w:pPr>
        <w:pStyle w:val="ListBullet"/>
        <w:spacing w:after="40"/>
      </w:pPr>
      <w:r>
        <w:t>Taux de doublons</w:t>
      </w:r>
    </w:p>
    <w:p>
      <w:pPr>
        <w:pStyle w:val="ListBullet"/>
        <w:spacing w:after="40"/>
      </w:pPr>
      <w:r>
        <w:t>Taux non confirmés / non exploitables</w:t>
      </w:r>
    </w:p>
    <w:p>
      <w:pPr>
        <w:pStyle w:val="ListBullet"/>
        <w:spacing w:after="40"/>
      </w:pPr>
      <w:r>
        <w:t>Volume hors couverture</w:t>
      </w:r>
    </w:p>
    <w:p>
      <w:pPr>
        <w:spacing w:after="100"/>
      </w:pPr>
      <w:r>
        <w:t>Filtres : aujourd’hui, 7 jours, 30 jours, période personnalisée.</w:t>
      </w:r>
    </w:p>
    <w:p>
      <w:pPr>
        <w:pStyle w:val="Heading3"/>
        <w:keepNext/>
        <w:spacing w:before="180" w:after="80"/>
      </w:pPr>
      <w:r>
        <w:t>17.2 KPI super-admin / commercial</w:t>
      </w:r>
    </w:p>
    <w:p>
      <w:pPr>
        <w:pStyle w:val="ListBullet"/>
        <w:spacing w:after="40"/>
      </w:pPr>
      <w:r>
        <w:t>Organisations actives</w:t>
      </w:r>
    </w:p>
    <w:p>
      <w:pPr>
        <w:pStyle w:val="ListBullet"/>
        <w:spacing w:after="40"/>
      </w:pPr>
      <w:r>
        <w:t>Volume par territoire</w:t>
      </w:r>
    </w:p>
    <w:p>
      <w:pPr>
        <w:pStyle w:val="ListBullet"/>
        <w:spacing w:after="40"/>
      </w:pPr>
      <w:r>
        <w:t>Zones non couvertes</w:t>
      </w:r>
    </w:p>
    <w:p>
      <w:pPr>
        <w:pStyle w:val="ListBullet"/>
        <w:spacing w:after="40"/>
      </w:pPr>
      <w:r>
        <w:t>Demandes “Être prévenu”</w:t>
      </w:r>
    </w:p>
    <w:p>
      <w:pPr>
        <w:pStyle w:val="ListBullet"/>
        <w:spacing w:after="40"/>
      </w:pPr>
      <w:r>
        <w:t>Croissance mensuelle</w:t>
      </w:r>
    </w:p>
    <w:p>
      <w:pPr>
        <w:pStyle w:val="ListBullet"/>
        <w:spacing w:after="40"/>
      </w:pPr>
      <w:r>
        <w:t>Erreurs de routage</w:t>
      </w:r>
    </w:p>
    <w:p>
      <w:pPr>
        <w:spacing w:after="100"/>
      </w:pPr>
      <w:r>
        <w:t>Vue Opportunités : classement des zones non couvertes selon volume de signalements, nombre de demandes d’ouverture et tendance. Cette mécanique doit pouvoir nourrir un pipeline commercial qualifié.</w:t>
      </w:r>
    </w:p>
    <w:p>
      <w:r>
        <w:br w:type="page"/>
      </w:r>
    </w:p>
    <w:p>
      <w:pPr>
        <w:pStyle w:val="Heading1"/>
        <w:keepNext/>
        <w:spacing w:before="180" w:after="80"/>
      </w:pPr>
      <w:r>
        <w:t>Partie D — Design, accessibilité et branding</w:t>
      </w:r>
    </w:p>
    <w:p>
      <w:pPr>
        <w:pStyle w:val="Heading2"/>
        <w:keepNext/>
        <w:spacing w:before="180" w:after="80"/>
      </w:pPr>
      <w:r>
        <w:t>18. Direction UX/UI</w:t>
      </w:r>
    </w:p>
    <w:p>
      <w:pPr>
        <w:spacing w:after="100"/>
      </w:pPr>
      <w:r>
        <w:t>ActiCiv doit donner une impression premium, moderne, fluide et fiable — plus proche d’une fintech ou d’une application mobilité que d’un vieux portail administratif.</w:t>
      </w:r>
    </w:p>
    <w:p>
      <w:pPr>
        <w:pStyle w:val="ListBullet"/>
        <w:spacing w:after="40"/>
      </w:pPr>
      <w:r>
        <w:t>Citizen mobile-first, une main si possible, une action principale par écran.</w:t>
      </w:r>
    </w:p>
    <w:p>
      <w:pPr>
        <w:pStyle w:val="ListBullet"/>
        <w:spacing w:after="40"/>
      </w:pPr>
      <w:r>
        <w:t>Agent mobile-first terrain.</w:t>
      </w:r>
    </w:p>
    <w:p>
      <w:pPr>
        <w:pStyle w:val="ListBullet"/>
        <w:spacing w:after="40"/>
      </w:pPr>
      <w:r>
        <w:t>Superviseur/admin desktop/tablette.</w:t>
      </w:r>
    </w:p>
    <w:p>
      <w:pPr>
        <w:pStyle w:val="ListBullet"/>
        <w:spacing w:after="40"/>
      </w:pPr>
      <w:r>
        <w:t>Transitions fluides et micro-interactions utiles, jamais décoratives au détriment de la performance ou de l’accessibilité.</w:t>
      </w:r>
    </w:p>
    <w:p>
      <w:pPr>
        <w:pStyle w:val="ListBullet"/>
        <w:spacing w:after="40"/>
      </w:pPr>
      <w:r>
        <w:t>Carte animée et temps réel possibles dans la démo, mais robustesse fonctionnelle prioritaire.</w:t>
      </w:r>
    </w:p>
    <w:p>
      <w:pPr>
        <w:pStyle w:val="Heading2"/>
        <w:keepNext/>
        <w:spacing w:before="180" w:after="80"/>
      </w:pPr>
      <w:r>
        <w:t>19. Accessibilité WCAG 2.2 AA</w:t>
      </w:r>
    </w:p>
    <w:p>
      <w:pPr>
        <w:spacing w:after="100"/>
      </w:pPr>
      <w:r>
        <w:t>L’accessibilité est non négociable et doit exister dès la conception, pas comme retrofit.</w:t>
      </w:r>
    </w:p>
    <w:p>
      <w:pPr>
        <w:pStyle w:val="ListBullet"/>
        <w:spacing w:after="40"/>
      </w:pPr>
      <w:r>
        <w:t>VoiceOver et TalkBack</w:t>
      </w:r>
    </w:p>
    <w:p>
      <w:pPr>
        <w:pStyle w:val="ListBullet"/>
        <w:spacing w:after="40"/>
      </w:pPr>
      <w:r>
        <w:t>Navigation clavier complète</w:t>
      </w:r>
    </w:p>
    <w:p>
      <w:pPr>
        <w:pStyle w:val="ListBullet"/>
        <w:spacing w:after="40"/>
      </w:pPr>
      <w:r>
        <w:t>Focus visible</w:t>
      </w:r>
    </w:p>
    <w:p>
      <w:pPr>
        <w:pStyle w:val="ListBullet"/>
        <w:spacing w:after="40"/>
      </w:pPr>
      <w:r>
        <w:t>Grandes cibles tactiles</w:t>
      </w:r>
    </w:p>
    <w:p>
      <w:pPr>
        <w:pStyle w:val="ListBullet"/>
        <w:spacing w:after="40"/>
      </w:pPr>
      <w:r>
        <w:t>Contrastes conformes</w:t>
      </w:r>
    </w:p>
    <w:p>
      <w:pPr>
        <w:pStyle w:val="ListBullet"/>
        <w:spacing w:after="40"/>
      </w:pPr>
      <w:r>
        <w:t>Zoom / agrandissement sans rupture</w:t>
      </w:r>
    </w:p>
    <w:p>
      <w:pPr>
        <w:pStyle w:val="ListBullet"/>
        <w:spacing w:after="40"/>
      </w:pPr>
      <w:r>
        <w:t>Jamais d’information uniquement par couleur</w:t>
      </w:r>
    </w:p>
    <w:p>
      <w:pPr>
        <w:pStyle w:val="ListBullet"/>
        <w:spacing w:after="40"/>
      </w:pPr>
      <w:r>
        <w:t>Respect prefers-reduced-motion</w:t>
      </w:r>
    </w:p>
    <w:p>
      <w:pPr>
        <w:pStyle w:val="ListBullet"/>
        <w:spacing w:after="40"/>
      </w:pPr>
      <w:r>
        <w:t>Labels persistants (pas placeholder-only)</w:t>
      </w:r>
    </w:p>
    <w:p>
      <w:pPr>
        <w:pStyle w:val="ListBullet"/>
        <w:spacing w:after="40"/>
      </w:pPr>
      <w:r>
        <w:t>Messages d’erreur clairs</w:t>
      </w:r>
    </w:p>
    <w:p>
      <w:pPr>
        <w:pStyle w:val="ListBullet"/>
        <w:spacing w:after="40"/>
      </w:pPr>
      <w:r>
        <w:t>Ordre de lecture logique</w:t>
      </w:r>
    </w:p>
    <w:p>
      <w:pPr>
        <w:pStyle w:val="ListBullet"/>
        <w:spacing w:after="40"/>
      </w:pPr>
      <w:r>
        <w:t>Icône + texte pour actions importantes</w:t>
      </w:r>
    </w:p>
    <w:p>
      <w:pPr>
        <w:pStyle w:val="ListBullet"/>
        <w:spacing w:after="40"/>
      </w:pPr>
      <w:r>
        <w:t>Alt text / accessible names</w:t>
      </w:r>
    </w:p>
    <w:p>
      <w:pPr>
        <w:pStyle w:val="ListBullet"/>
        <w:spacing w:after="40"/>
      </w:pPr>
      <w:r>
        <w:t>Pas de drag/drop obligatoire ni gestes complexes</w:t>
      </w:r>
    </w:p>
    <w:p>
      <w:pPr>
        <w:pStyle w:val="ListBullet"/>
        <w:spacing w:after="40"/>
      </w:pPr>
      <w:r>
        <w:t>Langage simple</w:t>
      </w:r>
    </w:p>
    <w:p>
      <w:pPr>
        <w:pStyle w:val="ListBullet"/>
        <w:spacing w:after="40"/>
      </w:pPr>
      <w:r>
        <w:t>Tests d’accessibilité intégrés à la QA</w:t>
      </w:r>
    </w:p>
    <w:p>
      <w:pPr>
        <w:spacing w:after="100"/>
      </w:pPr>
      <w:r>
        <w:t>Les erreurs critiques automatiquement détectables doivent pouvoir faire échouer la CI. Des validations manuelles documentées complètent l’automatisation.</w:t>
      </w:r>
    </w:p>
    <w:p>
      <w:pPr>
        <w:pStyle w:val="Heading2"/>
        <w:keepNext/>
        <w:spacing w:before="180" w:after="80"/>
      </w:pPr>
      <w:r>
        <w:t>20. Co-branding et design system</w:t>
      </w:r>
    </w:p>
    <w:p>
      <w:pPr>
        <w:spacing w:after="100"/>
      </w:pPr>
      <w:r>
        <w:t>ActiCiv reste visible : pas de white-label. Le client peut configurer logo, couleur principale, couleur secondaire et éventuellement accent plus tard.</w:t>
      </w:r>
    </w:p>
    <w:p>
      <w:pPr>
        <w:pStyle w:val="ListBullet"/>
        <w:spacing w:after="40"/>
      </w:pPr>
      <w:r>
        <w:t>Pas de CSS libre.</w:t>
      </w:r>
    </w:p>
    <w:p>
      <w:pPr>
        <w:pStyle w:val="ListBullet"/>
        <w:spacing w:after="40"/>
      </w:pPr>
      <w:r>
        <w:t>Le système dérive les états de composants à partir des tokens.</w:t>
      </w:r>
    </w:p>
    <w:p>
      <w:pPr>
        <w:pStyle w:val="ListBullet"/>
        <w:spacing w:after="40"/>
      </w:pPr>
      <w:r>
        <w:t>Contraste WCAG contrôlé automatiquement ; le système choisit une couleur de texte lisible ou propose une teinte compatible.</w:t>
      </w:r>
    </w:p>
    <w:p>
      <w:pPr>
        <w:pStyle w:val="ListBullet"/>
        <w:spacing w:after="40"/>
      </w:pPr>
      <w:r>
        <w:t>Les couleurs sémantiques danger/succès/warning/info restent contrôlées par le produit.</w:t>
      </w:r>
    </w:p>
    <w:p>
      <w:pPr>
        <w:pStyle w:val="ListBullet"/>
        <w:spacing w:after="40"/>
      </w:pPr>
      <w:r>
        <w:t>Preview avant publication du branding.</w:t>
      </w:r>
    </w:p>
    <w:p>
      <w:pPr>
        <w:spacing w:after="100"/>
      </w:pPr>
      <w:r>
        <w:t>Tokens prévus : --brand-primary, --brand-secondary, --brand-accent, --surface, --surface-elevated, --text-primary, --text-secondary, --success, --warning, --danger, --info.</w:t>
      </w:r>
    </w:p>
    <w:p>
      <w:pPr>
        <w:spacing w:after="100"/>
      </w:pPr>
      <w:r>
        <w:t>Architecture prête pour dark mode via tokens, mais pas de dark mode citoyen dans le MVP. Éventuellement pro plus tard.</w:t>
      </w:r>
    </w:p>
    <w:p>
      <w:r>
        <w:br w:type="page"/>
      </w:r>
    </w:p>
    <w:p>
      <w:pPr>
        <w:pStyle w:val="Heading1"/>
        <w:keepNext/>
        <w:spacing w:before="180" w:after="80"/>
      </w:pPr>
      <w:r>
        <w:t>Partie E — Architecture et garde-fous techniques</w:t>
      </w:r>
    </w:p>
    <w:p>
      <w:pPr>
        <w:pStyle w:val="Heading2"/>
        <w:keepNext/>
        <w:spacing w:before="180" w:after="80"/>
      </w:pPr>
      <w:r>
        <w:t>21. Stack, monolithe modulaire et architecture hexagonale pragmatique</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shd w:fill="16324F"/>
            <w:tcMar>
              <w:top w:w="80" w:type="dxa"/>
              <w:start w:w="90" w:type="dxa"/>
              <w:bottom w:w="80" w:type="dxa"/>
              <w:end w:w="90" w:type="dxa"/>
            </w:tcMar>
          </w:tcPr>
          <w:p>
            <w:r>
              <w:rPr>
                <w:b/>
                <w:color w:val="FFFFFF"/>
                <w:sz w:val="18"/>
              </w:rPr>
              <w:t>Brique</w:t>
            </w:r>
          </w:p>
        </w:tc>
        <w:tc>
          <w:tcPr>
            <w:tcW w:type="dxa" w:w="6912"/>
            <w:shd w:fill="16324F"/>
            <w:tcMar>
              <w:top w:w="80" w:type="dxa"/>
              <w:start w:w="90" w:type="dxa"/>
              <w:bottom w:w="80" w:type="dxa"/>
              <w:end w:w="90" w:type="dxa"/>
            </w:tcMar>
          </w:tcPr>
          <w:p>
            <w:r>
              <w:rPr>
                <w:b/>
                <w:color w:val="FFFFFF"/>
                <w:sz w:val="18"/>
              </w:rPr>
              <w:t>Choix verrouillé</w:t>
            </w:r>
          </w:p>
        </w:tc>
      </w:tr>
      <w:tr>
        <w:trPr>
          <w:cantSplit/>
        </w:trPr>
        <w:tc>
          <w:tcPr>
            <w:tcW w:type="dxa" w:w="3168"/>
            <w:tcMar>
              <w:top w:w="80" w:type="dxa"/>
              <w:start w:w="90" w:type="dxa"/>
              <w:bottom w:w="80" w:type="dxa"/>
              <w:end w:w="90" w:type="dxa"/>
            </w:tcMar>
            <w:vAlign w:val="top"/>
          </w:tcPr>
          <w:p>
            <w:pPr>
              <w:spacing w:after="40"/>
            </w:pPr>
            <w:r>
              <w:rPr>
                <w:sz w:val="18"/>
              </w:rPr>
              <w:t>Organisation code</w:t>
            </w:r>
          </w:p>
        </w:tc>
        <w:tc>
          <w:tcPr>
            <w:tcW w:type="dxa" w:w="6912"/>
            <w:tcMar>
              <w:top w:w="80" w:type="dxa"/>
              <w:start w:w="90" w:type="dxa"/>
              <w:bottom w:w="80" w:type="dxa"/>
              <w:end w:w="90" w:type="dxa"/>
            </w:tcMar>
            <w:vAlign w:val="top"/>
          </w:tcPr>
          <w:p>
            <w:pPr>
              <w:spacing w:after="40"/>
            </w:pPr>
            <w:r>
              <w:rPr>
                <w:sz w:val="18"/>
              </w:rPr>
              <w:t>Monorepo TypeScript</w:t>
            </w:r>
          </w:p>
        </w:tc>
      </w:tr>
      <w:tr>
        <w:trPr>
          <w:cantSplit/>
        </w:trPr>
        <w:tc>
          <w:tcPr>
            <w:tcW w:type="dxa" w:w="3168"/>
            <w:tcMar>
              <w:top w:w="80" w:type="dxa"/>
              <w:start w:w="90" w:type="dxa"/>
              <w:bottom w:w="80" w:type="dxa"/>
              <w:end w:w="90" w:type="dxa"/>
            </w:tcMar>
            <w:vAlign w:val="top"/>
            <w:shd w:fill="F7FAFA"/>
          </w:tcPr>
          <w:p>
            <w:pPr>
              <w:spacing w:after="40"/>
            </w:pPr>
            <w:r>
              <w:rPr>
                <w:sz w:val="18"/>
              </w:rPr>
              <w:t>Citizen</w:t>
            </w:r>
          </w:p>
        </w:tc>
        <w:tc>
          <w:tcPr>
            <w:tcW w:type="dxa" w:w="6912"/>
            <w:tcMar>
              <w:top w:w="80" w:type="dxa"/>
              <w:start w:w="90" w:type="dxa"/>
              <w:bottom w:w="80" w:type="dxa"/>
              <w:end w:w="90" w:type="dxa"/>
            </w:tcMar>
            <w:vAlign w:val="top"/>
            <w:shd w:fill="F7FAFA"/>
          </w:tcPr>
          <w:p>
            <w:pPr>
              <w:spacing w:after="40"/>
            </w:pPr>
            <w:r>
              <w:rPr>
                <w:sz w:val="18"/>
              </w:rPr>
              <w:t>Next.js + TypeScript, PWA</w:t>
            </w:r>
          </w:p>
        </w:tc>
      </w:tr>
      <w:tr>
        <w:trPr>
          <w:cantSplit/>
        </w:trPr>
        <w:tc>
          <w:tcPr>
            <w:tcW w:type="dxa" w:w="3168"/>
            <w:tcMar>
              <w:top w:w="80" w:type="dxa"/>
              <w:start w:w="90" w:type="dxa"/>
              <w:bottom w:w="80" w:type="dxa"/>
              <w:end w:w="90" w:type="dxa"/>
            </w:tcMar>
            <w:vAlign w:val="top"/>
          </w:tcPr>
          <w:p>
            <w:pPr>
              <w:spacing w:after="40"/>
            </w:pPr>
            <w:r>
              <w:rPr>
                <w:sz w:val="18"/>
              </w:rPr>
              <w:t>Pro</w:t>
            </w:r>
          </w:p>
        </w:tc>
        <w:tc>
          <w:tcPr>
            <w:tcW w:type="dxa" w:w="6912"/>
            <w:tcMar>
              <w:top w:w="80" w:type="dxa"/>
              <w:start w:w="90" w:type="dxa"/>
              <w:bottom w:w="80" w:type="dxa"/>
              <w:end w:w="90" w:type="dxa"/>
            </w:tcMar>
            <w:vAlign w:val="top"/>
          </w:tcPr>
          <w:p>
            <w:pPr>
              <w:spacing w:after="40"/>
            </w:pPr>
            <w:r>
              <w:rPr>
                <w:sz w:val="18"/>
              </w:rPr>
              <w:t>Next.js + TypeScript</w:t>
            </w:r>
          </w:p>
        </w:tc>
      </w:tr>
      <w:tr>
        <w:trPr>
          <w:cantSplit/>
        </w:trPr>
        <w:tc>
          <w:tcPr>
            <w:tcW w:type="dxa" w:w="3168"/>
            <w:tcMar>
              <w:top w:w="80" w:type="dxa"/>
              <w:start w:w="90" w:type="dxa"/>
              <w:bottom w:w="80" w:type="dxa"/>
              <w:end w:w="90" w:type="dxa"/>
            </w:tcMar>
            <w:vAlign w:val="top"/>
            <w:shd w:fill="F7FAFA"/>
          </w:tcPr>
          <w:p>
            <w:pPr>
              <w:spacing w:after="40"/>
            </w:pPr>
            <w:r>
              <w:rPr>
                <w:sz w:val="18"/>
              </w:rPr>
              <w:t>UI</w:t>
            </w:r>
          </w:p>
        </w:tc>
        <w:tc>
          <w:tcPr>
            <w:tcW w:type="dxa" w:w="6912"/>
            <w:tcMar>
              <w:top w:w="80" w:type="dxa"/>
              <w:start w:w="90" w:type="dxa"/>
              <w:bottom w:w="80" w:type="dxa"/>
              <w:end w:w="90" w:type="dxa"/>
            </w:tcMar>
            <w:vAlign w:val="top"/>
            <w:shd w:fill="F7FAFA"/>
          </w:tcPr>
          <w:p>
            <w:pPr>
              <w:spacing w:after="40"/>
            </w:pPr>
            <w:r>
              <w:rPr>
                <w:sz w:val="18"/>
              </w:rPr>
              <w:t>Tailwind CSS + shadcn/ui + design system ActiCiv</w:t>
            </w:r>
          </w:p>
        </w:tc>
      </w:tr>
      <w:tr>
        <w:trPr>
          <w:cantSplit/>
        </w:trPr>
        <w:tc>
          <w:tcPr>
            <w:tcW w:type="dxa" w:w="3168"/>
            <w:tcMar>
              <w:top w:w="80" w:type="dxa"/>
              <w:start w:w="90" w:type="dxa"/>
              <w:bottom w:w="80" w:type="dxa"/>
              <w:end w:w="90" w:type="dxa"/>
            </w:tcMar>
            <w:vAlign w:val="top"/>
          </w:tcPr>
          <w:p>
            <w:pPr>
              <w:spacing w:after="40"/>
            </w:pPr>
            <w:r>
              <w:rPr>
                <w:sz w:val="18"/>
              </w:rPr>
              <w:t>Backend/Data</w:t>
            </w:r>
          </w:p>
        </w:tc>
        <w:tc>
          <w:tcPr>
            <w:tcW w:type="dxa" w:w="6912"/>
            <w:tcMar>
              <w:top w:w="80" w:type="dxa"/>
              <w:start w:w="90" w:type="dxa"/>
              <w:bottom w:w="80" w:type="dxa"/>
              <w:end w:w="90" w:type="dxa"/>
            </w:tcMar>
            <w:vAlign w:val="top"/>
          </w:tcPr>
          <w:p>
            <w:pPr>
              <w:spacing w:after="40"/>
            </w:pPr>
            <w:r>
              <w:rPr>
                <w:sz w:val="18"/>
              </w:rPr>
              <w:t>Supabase + PostgreSQL</w:t>
            </w:r>
          </w:p>
        </w:tc>
      </w:tr>
      <w:tr>
        <w:trPr>
          <w:cantSplit/>
        </w:trPr>
        <w:tc>
          <w:tcPr>
            <w:tcW w:type="dxa" w:w="3168"/>
            <w:tcMar>
              <w:top w:w="80" w:type="dxa"/>
              <w:start w:w="90" w:type="dxa"/>
              <w:bottom w:w="80" w:type="dxa"/>
              <w:end w:w="90" w:type="dxa"/>
            </w:tcMar>
            <w:vAlign w:val="top"/>
            <w:shd w:fill="F7FAFA"/>
          </w:tcPr>
          <w:p>
            <w:pPr>
              <w:spacing w:after="40"/>
            </w:pPr>
            <w:r>
              <w:rPr>
                <w:sz w:val="18"/>
              </w:rPr>
              <w:t>Auth</w:t>
            </w:r>
          </w:p>
        </w:tc>
        <w:tc>
          <w:tcPr>
            <w:tcW w:type="dxa" w:w="6912"/>
            <w:tcMar>
              <w:top w:w="80" w:type="dxa"/>
              <w:start w:w="90" w:type="dxa"/>
              <w:bottom w:w="80" w:type="dxa"/>
              <w:end w:w="90" w:type="dxa"/>
            </w:tcMar>
            <w:vAlign w:val="top"/>
            <w:shd w:fill="F7FAFA"/>
          </w:tcPr>
          <w:p>
            <w:pPr>
              <w:spacing w:after="40"/>
            </w:pPr>
            <w:r>
              <w:rPr>
                <w:sz w:val="18"/>
              </w:rPr>
              <w:t>Supabase Auth</w:t>
            </w:r>
          </w:p>
        </w:tc>
      </w:tr>
      <w:tr>
        <w:trPr>
          <w:cantSplit/>
        </w:trPr>
        <w:tc>
          <w:tcPr>
            <w:tcW w:type="dxa" w:w="3168"/>
            <w:tcMar>
              <w:top w:w="80" w:type="dxa"/>
              <w:start w:w="90" w:type="dxa"/>
              <w:bottom w:w="80" w:type="dxa"/>
              <w:end w:w="90" w:type="dxa"/>
            </w:tcMar>
            <w:vAlign w:val="top"/>
          </w:tcPr>
          <w:p>
            <w:pPr>
              <w:spacing w:after="40"/>
            </w:pPr>
            <w:r>
              <w:rPr>
                <w:sz w:val="18"/>
              </w:rPr>
              <w:t>Fichiers</w:t>
            </w:r>
          </w:p>
        </w:tc>
        <w:tc>
          <w:tcPr>
            <w:tcW w:type="dxa" w:w="6912"/>
            <w:tcMar>
              <w:top w:w="80" w:type="dxa"/>
              <w:start w:w="90" w:type="dxa"/>
              <w:bottom w:w="80" w:type="dxa"/>
              <w:end w:w="90" w:type="dxa"/>
            </w:tcMar>
            <w:vAlign w:val="top"/>
          </w:tcPr>
          <w:p>
            <w:pPr>
              <w:spacing w:after="40"/>
            </w:pPr>
            <w:r>
              <w:rPr>
                <w:sz w:val="18"/>
              </w:rPr>
              <w:t>Supabase Storage privé</w:t>
            </w:r>
          </w:p>
        </w:tc>
      </w:tr>
      <w:tr>
        <w:trPr>
          <w:cantSplit/>
        </w:trPr>
        <w:tc>
          <w:tcPr>
            <w:tcW w:type="dxa" w:w="3168"/>
            <w:tcMar>
              <w:top w:w="80" w:type="dxa"/>
              <w:start w:w="90" w:type="dxa"/>
              <w:bottom w:w="80" w:type="dxa"/>
              <w:end w:w="90" w:type="dxa"/>
            </w:tcMar>
            <w:vAlign w:val="top"/>
            <w:shd w:fill="F7FAFA"/>
          </w:tcPr>
          <w:p>
            <w:pPr>
              <w:spacing w:after="40"/>
            </w:pPr>
            <w:r>
              <w:rPr>
                <w:sz w:val="18"/>
              </w:rPr>
              <w:t>Temps réel</w:t>
            </w:r>
          </w:p>
        </w:tc>
        <w:tc>
          <w:tcPr>
            <w:tcW w:type="dxa" w:w="6912"/>
            <w:tcMar>
              <w:top w:w="80" w:type="dxa"/>
              <w:start w:w="90" w:type="dxa"/>
              <w:bottom w:w="80" w:type="dxa"/>
              <w:end w:w="90" w:type="dxa"/>
            </w:tcMar>
            <w:vAlign w:val="top"/>
            <w:shd w:fill="F7FAFA"/>
          </w:tcPr>
          <w:p>
            <w:pPr>
              <w:spacing w:after="40"/>
            </w:pPr>
            <w:r>
              <w:rPr>
                <w:sz w:val="18"/>
              </w:rPr>
              <w:t>Supabase Realtime</w:t>
            </w:r>
          </w:p>
        </w:tc>
      </w:tr>
      <w:tr>
        <w:trPr>
          <w:cantSplit/>
        </w:trPr>
        <w:tc>
          <w:tcPr>
            <w:tcW w:type="dxa" w:w="3168"/>
            <w:tcMar>
              <w:top w:w="80" w:type="dxa"/>
              <w:start w:w="90" w:type="dxa"/>
              <w:bottom w:w="80" w:type="dxa"/>
              <w:end w:w="90" w:type="dxa"/>
            </w:tcMar>
            <w:vAlign w:val="top"/>
          </w:tcPr>
          <w:p>
            <w:pPr>
              <w:spacing w:after="40"/>
            </w:pPr>
            <w:r>
              <w:rPr>
                <w:sz w:val="18"/>
              </w:rPr>
              <w:t>Functions</w:t>
            </w:r>
          </w:p>
        </w:tc>
        <w:tc>
          <w:tcPr>
            <w:tcW w:type="dxa" w:w="6912"/>
            <w:tcMar>
              <w:top w:w="80" w:type="dxa"/>
              <w:start w:w="90" w:type="dxa"/>
              <w:bottom w:w="80" w:type="dxa"/>
              <w:end w:w="90" w:type="dxa"/>
            </w:tcMar>
            <w:vAlign w:val="top"/>
          </w:tcPr>
          <w:p>
            <w:pPr>
              <w:spacing w:after="40"/>
            </w:pPr>
            <w:r>
              <w:rPr>
                <w:sz w:val="18"/>
              </w:rPr>
              <w:t>Supabase Edge Functions si nécessaire</w:t>
            </w:r>
          </w:p>
        </w:tc>
      </w:tr>
      <w:tr>
        <w:trPr>
          <w:cantSplit/>
        </w:trPr>
        <w:tc>
          <w:tcPr>
            <w:tcW w:type="dxa" w:w="3168"/>
            <w:tcMar>
              <w:top w:w="80" w:type="dxa"/>
              <w:start w:w="90" w:type="dxa"/>
              <w:bottom w:w="80" w:type="dxa"/>
              <w:end w:w="90" w:type="dxa"/>
            </w:tcMar>
            <w:vAlign w:val="top"/>
            <w:shd w:fill="F7FAFA"/>
          </w:tcPr>
          <w:p>
            <w:pPr>
              <w:spacing w:after="40"/>
            </w:pPr>
            <w:r>
              <w:rPr>
                <w:sz w:val="18"/>
              </w:rPr>
              <w:t>Cartographie</w:t>
            </w:r>
          </w:p>
        </w:tc>
        <w:tc>
          <w:tcPr>
            <w:tcW w:type="dxa" w:w="6912"/>
            <w:tcMar>
              <w:top w:w="80" w:type="dxa"/>
              <w:start w:w="90" w:type="dxa"/>
              <w:bottom w:w="80" w:type="dxa"/>
              <w:end w:w="90" w:type="dxa"/>
            </w:tcMar>
            <w:vAlign w:val="top"/>
            <w:shd w:fill="F7FAFA"/>
          </w:tcPr>
          <w:p>
            <w:pPr>
              <w:spacing w:after="40"/>
            </w:pPr>
            <w:r>
              <w:rPr>
                <w:sz w:val="18"/>
              </w:rPr>
              <w:t>MapLibre + source OpenStreetMap compatible</w:t>
            </w:r>
          </w:p>
        </w:tc>
      </w:tr>
      <w:tr>
        <w:trPr>
          <w:cantSplit/>
        </w:trPr>
        <w:tc>
          <w:tcPr>
            <w:tcW w:type="dxa" w:w="3168"/>
            <w:tcMar>
              <w:top w:w="80" w:type="dxa"/>
              <w:start w:w="90" w:type="dxa"/>
              <w:bottom w:w="80" w:type="dxa"/>
              <w:end w:w="90" w:type="dxa"/>
            </w:tcMar>
            <w:vAlign w:val="top"/>
          </w:tcPr>
          <w:p>
            <w:pPr>
              <w:spacing w:after="40"/>
            </w:pPr>
            <w:r>
              <w:rPr>
                <w:sz w:val="18"/>
              </w:rPr>
              <w:t>Emails</w:t>
            </w:r>
          </w:p>
        </w:tc>
        <w:tc>
          <w:tcPr>
            <w:tcW w:type="dxa" w:w="6912"/>
            <w:tcMar>
              <w:top w:w="80" w:type="dxa"/>
              <w:start w:w="90" w:type="dxa"/>
              <w:bottom w:w="80" w:type="dxa"/>
              <w:end w:w="90" w:type="dxa"/>
            </w:tcMar>
            <w:vAlign w:val="top"/>
          </w:tcPr>
          <w:p>
            <w:pPr>
              <w:spacing w:after="40"/>
            </w:pPr>
            <w:r>
              <w:rPr>
                <w:sz w:val="18"/>
              </w:rPr>
              <w:t>Resend</w:t>
            </w:r>
          </w:p>
        </w:tc>
      </w:tr>
      <w:tr>
        <w:trPr>
          <w:cantSplit/>
        </w:trPr>
        <w:tc>
          <w:tcPr>
            <w:tcW w:type="dxa" w:w="3168"/>
            <w:tcMar>
              <w:top w:w="80" w:type="dxa"/>
              <w:start w:w="90" w:type="dxa"/>
              <w:bottom w:w="80" w:type="dxa"/>
              <w:end w:w="90" w:type="dxa"/>
            </w:tcMar>
            <w:vAlign w:val="top"/>
            <w:shd w:fill="F7FAFA"/>
          </w:tcPr>
          <w:p>
            <w:pPr>
              <w:spacing w:after="40"/>
            </w:pPr>
            <w:r>
              <w:rPr>
                <w:sz w:val="18"/>
              </w:rPr>
              <w:t>Anti-bot</w:t>
            </w:r>
          </w:p>
        </w:tc>
        <w:tc>
          <w:tcPr>
            <w:tcW w:type="dxa" w:w="6912"/>
            <w:tcMar>
              <w:top w:w="80" w:type="dxa"/>
              <w:start w:w="90" w:type="dxa"/>
              <w:bottom w:w="80" w:type="dxa"/>
              <w:end w:w="90" w:type="dxa"/>
            </w:tcMar>
            <w:vAlign w:val="top"/>
            <w:shd w:fill="F7FAFA"/>
          </w:tcPr>
          <w:p>
            <w:pPr>
              <w:spacing w:after="40"/>
            </w:pPr>
            <w:r>
              <w:rPr>
                <w:sz w:val="18"/>
              </w:rPr>
              <w:t>Cloudflare Turnstile</w:t>
            </w:r>
          </w:p>
        </w:tc>
      </w:tr>
      <w:tr>
        <w:trPr>
          <w:cantSplit/>
        </w:trPr>
        <w:tc>
          <w:tcPr>
            <w:tcW w:type="dxa" w:w="3168"/>
            <w:tcMar>
              <w:top w:w="80" w:type="dxa"/>
              <w:start w:w="90" w:type="dxa"/>
              <w:bottom w:w="80" w:type="dxa"/>
              <w:end w:w="90" w:type="dxa"/>
            </w:tcMar>
            <w:vAlign w:val="top"/>
          </w:tcPr>
          <w:p>
            <w:pPr>
              <w:spacing w:after="40"/>
            </w:pPr>
            <w:r>
              <w:rPr>
                <w:sz w:val="18"/>
              </w:rPr>
              <w:t>Déploiement</w:t>
            </w:r>
          </w:p>
        </w:tc>
        <w:tc>
          <w:tcPr>
            <w:tcW w:type="dxa" w:w="6912"/>
            <w:tcMar>
              <w:top w:w="80" w:type="dxa"/>
              <w:start w:w="90" w:type="dxa"/>
              <w:bottom w:w="80" w:type="dxa"/>
              <w:end w:w="90" w:type="dxa"/>
            </w:tcMar>
            <w:vAlign w:val="top"/>
          </w:tcPr>
          <w:p>
            <w:pPr>
              <w:spacing w:after="40"/>
            </w:pPr>
            <w:r>
              <w:rPr>
                <w:sz w:val="18"/>
              </w:rPr>
              <w:t>Vercel</w:t>
            </w:r>
          </w:p>
        </w:tc>
      </w:tr>
      <w:tr>
        <w:trPr>
          <w:cantSplit/>
        </w:trPr>
        <w:tc>
          <w:tcPr>
            <w:tcW w:type="dxa" w:w="3168"/>
            <w:tcMar>
              <w:top w:w="80" w:type="dxa"/>
              <w:start w:w="90" w:type="dxa"/>
              <w:bottom w:w="80" w:type="dxa"/>
              <w:end w:w="90" w:type="dxa"/>
            </w:tcMar>
            <w:vAlign w:val="top"/>
            <w:shd w:fill="F7FAFA"/>
          </w:tcPr>
          <w:p>
            <w:pPr>
              <w:spacing w:after="40"/>
            </w:pPr>
            <w:r>
              <w:rPr>
                <w:sz w:val="18"/>
              </w:rPr>
              <w:t>Tests E2E</w:t>
            </w:r>
          </w:p>
        </w:tc>
        <w:tc>
          <w:tcPr>
            <w:tcW w:type="dxa" w:w="6912"/>
            <w:tcMar>
              <w:top w:w="80" w:type="dxa"/>
              <w:start w:w="90" w:type="dxa"/>
              <w:bottom w:w="80" w:type="dxa"/>
              <w:end w:w="90" w:type="dxa"/>
            </w:tcMar>
            <w:vAlign w:val="top"/>
            <w:shd w:fill="F7FAFA"/>
          </w:tcPr>
          <w:p>
            <w:pPr>
              <w:spacing w:after="40"/>
            </w:pPr>
            <w:r>
              <w:rPr>
                <w:sz w:val="18"/>
              </w:rPr>
              <w:t>Playwright</w:t>
            </w:r>
          </w:p>
        </w:tc>
      </w:tr>
      <w:tr>
        <w:trPr>
          <w:cantSplit/>
        </w:trPr>
        <w:tc>
          <w:tcPr>
            <w:tcW w:type="dxa" w:w="3168"/>
            <w:tcMar>
              <w:top w:w="80" w:type="dxa"/>
              <w:start w:w="90" w:type="dxa"/>
              <w:bottom w:w="80" w:type="dxa"/>
              <w:end w:w="90" w:type="dxa"/>
            </w:tcMar>
            <w:vAlign w:val="top"/>
          </w:tcPr>
          <w:p>
            <w:pPr>
              <w:spacing w:after="40"/>
            </w:pPr>
            <w:r>
              <w:rPr>
                <w:sz w:val="18"/>
              </w:rPr>
              <w:t>CI</w:t>
            </w:r>
          </w:p>
        </w:tc>
        <w:tc>
          <w:tcPr>
            <w:tcW w:type="dxa" w:w="6912"/>
            <w:tcMar>
              <w:top w:w="80" w:type="dxa"/>
              <w:start w:w="90" w:type="dxa"/>
              <w:bottom w:w="80" w:type="dxa"/>
              <w:end w:w="90" w:type="dxa"/>
            </w:tcMar>
            <w:vAlign w:val="top"/>
          </w:tcPr>
          <w:p>
            <w:pPr>
              <w:spacing w:after="40"/>
            </w:pPr>
            <w:r>
              <w:rPr>
                <w:sz w:val="18"/>
              </w:rPr>
              <w:t>GitHub Actions</w:t>
            </w:r>
          </w:p>
        </w:tc>
      </w:tr>
    </w:tbl>
    <w:p/>
    <w:p>
      <w:pPr>
        <w:spacing w:after="100"/>
      </w:pPr>
      <w:r>
        <w:t>Architecture : monolithe modulaire. Modules attendus : auth, organizations, territories, services, reports, routing, assignments, sla, notifications, analytics, audit.</w:t>
      </w:r>
    </w:p>
    <w:p>
      <w:pPr>
        <w:spacing w:after="100"/>
      </w:pPr>
      <w:r>
        <w:t>Ne pas introduire microservices, Kubernetes, Kafka, RabbitMQ, MongoDB, Redis, autre base ou autre framework sans besoin démontré, justification préalable et ADR.</w:t>
      </w:r>
    </w:p>
    <w:p>
      <w:pPr>
        <w:spacing w:after="100"/>
      </w:pPr>
      <w:r>
        <w:t>Structure cible : /apps/citizen ; /apps/pro ; /packages/ui ; /packages/shared ; /packages/types ; /supabase/migrations ; /supabase/functions ; /e2e ; /docs/architecture-decisions.</w:t>
      </w:r>
    </w:p>
    <w:p>
      <w:pPr>
        <w:pStyle w:val="Heading3"/>
      </w:pPr>
      <w:r>
        <w:t>21.1 Architecture hexagonale pragmatique</w:t>
      </w:r>
    </w:p>
    <w:p>
      <w:pPr/>
      <w:r>
        <w:t>ActiCiv adopte un monolithe modulaire qui applique les principes de l’architecture hexagonale aux modules métier critiques. Ce choix vise à isoler le domaine des frameworks et des fournisseurs techniques sans imposer une architecture académique ou cérémonielle aux modules simples.</w:t>
      </w:r>
    </w:p>
    <w:p>
      <w:pPr/>
      <w:r>
        <w:t>Le cœur métier critique doit pouvoir être testé sans Next.js, Supabase, HTTP, stockage, cartographie ou fournisseur email.</w:t>
      </w:r>
    </w:p>
    <w:p>
      <w:pPr>
        <w:pStyle w:val="ListBullet"/>
      </w:pPr>
      <w:r>
        <w:t>Domain : entités, value objects, règles, invariants et policies métier pures ; aucune dépendance à Next.js, Supabase, HTTP ou à un SDK externe.</w:t>
      </w:r>
    </w:p>
    <w:p>
      <w:pPr>
        <w:pStyle w:val="ListBullet"/>
      </w:pPr>
      <w:r>
        <w:t>Application : cas d’usage et orchestration ; définit les ports/interfaces nécessaires au domaine et coordonne les transactions métier.</w:t>
      </w:r>
    </w:p>
    <w:p>
      <w:pPr>
        <w:pStyle w:val="ListBullet"/>
      </w:pPr>
      <w:r>
        <w:t>Infrastructure : implémentations des ports vers PostgreSQL/Supabase, PostGIS, Storage, Resend, Turnstile, observabilité et autres fournisseurs externes.</w:t>
      </w:r>
    </w:p>
    <w:p>
      <w:pPr>
        <w:pStyle w:val="ListBullet"/>
      </w:pPr>
      <w:r>
        <w:t>Entrypoints / adapters : Route Handlers, Server Actions ou autres points d’entrée serveur ; ils authentifient, valident les entrées, appellent les cas d’usage et traduisent les résultats vers le transport.</w:t>
      </w:r>
    </w:p>
    <w:p>
      <w:pPr>
        <w:pStyle w:val="ListBullet"/>
      </w:pPr>
      <w:r>
        <w:t>Les dépendances vont vers le cœur : le domaine ne dépend jamais de l’infrastructure. Les adaptateurs peuvent dépendre de l’application et du domaine, jamais l’inverse.</w:t>
      </w:r>
    </w:p>
    <w:p>
      <w:pPr/>
      <w:r>
        <w:t>Application ciblée : ce découpage est obligatoire pour les modules où la logique métier est riche ou critique — notamment routing, sla, assignments, reports, permissions/authz et workflows. Un module simple de configuration ou de branding ne doit pas être artificiellement éclaté en quatre couches si cela n’apporte aucune valeur.</w:t>
      </w:r>
    </w:p>
    <w:p>
      <w:pPr/>
      <w:r>
        <w:t>Le package `packages/backend` reste interne au monolithe. Il peut contenir les couches domain/application/infrastructure par module, mais ne devient ni une troisième application, ni un microservice, ni un déploiement séparé.</w:t>
      </w:r>
    </w:p>
    <w:p>
      <w:pPr/>
      <w:r>
        <w:t>Les ports doivent être introduits uniquement lorsqu’une vraie frontière d’infrastructure ou de testabilité le justifie. Interdiction de créer des interfaces, repositories génériques ou abstractions “au cas où”.</w:t>
      </w:r>
    </w:p>
    <w:p>
      <w:pPr/>
      <w:r>
        <w:t>Exemple de structure indicative pour un module métier critique : `modules/&lt;module&gt;/domain`, `modules/&lt;module&gt;/application`, `modules/&lt;module&gt;/infrastructure`, avec les entrypoints maintenus au niveau serveur des applications. Cette structure est une direction, pas une obligation de dossiers vides.</w:t>
      </w:r>
    </w:p>
    <w:p>
      <w:pPr>
        <w:pStyle w:val="Heading2"/>
        <w:keepNext/>
        <w:spacing w:before="180" w:after="80"/>
      </w:pPr>
      <w:r>
        <w:t>22. Backend source de vérité et règles de domaine</w:t>
      </w:r>
    </w:p>
    <w:p>
      <w:pPr>
        <w:spacing w:after="100"/>
      </w:pPr>
      <w:r>
        <w:t>Toute logique métier critique vit côté backend / domaine. Le frontend peut pré-valider ou afficher optimistiquement, mais n’est jamais source de vérité. Le domaine doit rester indépendant des frameworks et des fournisseurs techniques conformément aux principes hexagonaux définis en 21.1.</w:t>
      </w:r>
    </w:p>
    <w:p>
      <w:pPr>
        <w:pStyle w:val="ListBullet"/>
        <w:spacing w:after="40"/>
      </w:pPr>
      <w:r>
        <w:t>Permissions et rôles</w:t>
      </w:r>
    </w:p>
    <w:p>
      <w:pPr>
        <w:pStyle w:val="ListBullet"/>
        <w:spacing w:after="40"/>
      </w:pPr>
      <w:r>
        <w:t>organization_id et service_id</w:t>
      </w:r>
    </w:p>
    <w:p>
      <w:pPr>
        <w:pStyle w:val="ListBullet"/>
        <w:spacing w:after="40"/>
      </w:pPr>
      <w:r>
        <w:t>Territoire / périmètre contractuel</w:t>
      </w:r>
    </w:p>
    <w:p>
      <w:pPr>
        <w:pStyle w:val="ListBullet"/>
        <w:spacing w:after="40"/>
      </w:pPr>
      <w:r>
        <w:t>Routage</w:t>
      </w:r>
    </w:p>
    <w:p>
      <w:pPr>
        <w:pStyle w:val="ListBullet"/>
        <w:spacing w:after="40"/>
      </w:pPr>
      <w:r>
        <w:t>Priorité</w:t>
      </w:r>
    </w:p>
    <w:p>
      <w:pPr>
        <w:pStyle w:val="ListBullet"/>
        <w:spacing w:after="40"/>
      </w:pPr>
      <w:r>
        <w:t>SLA</w:t>
      </w:r>
    </w:p>
    <w:p>
      <w:pPr>
        <w:pStyle w:val="ListBullet"/>
        <w:spacing w:after="40"/>
      </w:pPr>
      <w:r>
        <w:t>Transitions de statut</w:t>
      </w:r>
    </w:p>
    <w:p>
      <w:pPr>
        <w:pStyle w:val="ListBullet"/>
        <w:spacing w:after="40"/>
      </w:pPr>
      <w:r>
        <w:t>Assignation / claim</w:t>
      </w:r>
    </w:p>
    <w:p>
      <w:pPr>
        <w:pStyle w:val="ListBullet"/>
        <w:spacing w:after="40"/>
      </w:pPr>
      <w:r>
        <w:t>Anti-abus</w:t>
      </w:r>
    </w:p>
    <w:p>
      <w:pPr>
        <w:pStyle w:val="ListBullet"/>
        <w:spacing w:after="40"/>
      </w:pPr>
      <w:r>
        <w:t>Fusion de doublons</w:t>
      </w:r>
    </w:p>
    <w:p>
      <w:pPr>
        <w:pStyle w:val="ListBullet"/>
        <w:spacing w:after="40"/>
      </w:pPr>
      <w:r>
        <w:t>Transferts</w:t>
      </w:r>
    </w:p>
    <w:p>
      <w:pPr>
        <w:spacing w:after="100"/>
      </w:pPr>
      <w:r>
        <w:t>Toute donnée venant du client est revalidée serveur. Les composants UI gèrent présentation, interaction et état local, pas les règles métier.</w:t>
      </w:r>
    </w:p>
    <w:p>
      <w:pPr>
        <w:pStyle w:val="Heading2"/>
        <w:keepNext/>
        <w:spacing w:before="180" w:after="80"/>
      </w:pPr>
      <w:r>
        <w:t>23. Données, base, concurrence et idempotence</w:t>
      </w:r>
    </w:p>
    <w:p>
      <w:pPr>
        <w:pStyle w:val="Heading3"/>
        <w:keepNext/>
        <w:spacing w:before="180" w:after="80"/>
      </w:pPr>
      <w:r>
        <w:t>23.1 Migrations et contraintes</w:t>
      </w:r>
    </w:p>
    <w:p>
      <w:pPr>
        <w:pStyle w:val="ListBullet"/>
        <w:spacing w:after="40"/>
      </w:pPr>
      <w:r>
        <w:t>Tout changement de schéma passe par une migration versionnée.</w:t>
      </w:r>
    </w:p>
    <w:p>
      <w:pPr>
        <w:pStyle w:val="ListBullet"/>
        <w:spacing w:after="40"/>
      </w:pPr>
      <w:r>
        <w:t>Migrations réversibles lorsque raisonnable ; seeds toujours compatibles.</w:t>
      </w:r>
    </w:p>
    <w:p>
      <w:pPr>
        <w:pStyle w:val="ListBullet"/>
        <w:spacing w:after="40"/>
      </w:pPr>
      <w:r>
        <w:t>Utiliser FK, unicité, CHECK, intégrité référentielle et contraintes SQL lorsqu’elles peuvent garantir une règle.</w:t>
      </w:r>
    </w:p>
    <w:p>
      <w:pPr>
        <w:pStyle w:val="ListBullet"/>
        <w:spacing w:after="40"/>
      </w:pPr>
      <w:r>
        <w:t>IDs UUID/opaques. Aucun identifiant séquentiel devinable exposé publiquement.</w:t>
      </w:r>
    </w:p>
    <w:p>
      <w:pPr>
        <w:pStyle w:val="Heading3"/>
        <w:keepNext/>
        <w:spacing w:before="180" w:after="80"/>
      </w:pPr>
      <w:r>
        <w:t>23.2 Transactions et concurrence</w:t>
      </w:r>
    </w:p>
    <w:p>
      <w:pPr>
        <w:pStyle w:val="ListBullet"/>
        <w:spacing w:after="40"/>
      </w:pPr>
      <w:r>
        <w:t>Transactions pour les opérations critiques multi-objets.</w:t>
      </w:r>
    </w:p>
    <w:p>
      <w:pPr>
        <w:pStyle w:val="ListBullet"/>
        <w:spacing w:after="40"/>
      </w:pPr>
      <w:r>
        <w:t>“Je prends” doit être atomique.</w:t>
      </w:r>
    </w:p>
    <w:p>
      <w:pPr>
        <w:pStyle w:val="ListBullet"/>
        <w:spacing w:after="40"/>
      </w:pPr>
      <w:r>
        <w:t>Transfert, clôture, fusion et réassignation doivent résister à la concurrence.</w:t>
      </w:r>
    </w:p>
    <w:p>
      <w:pPr>
        <w:pStyle w:val="ListBullet"/>
        <w:spacing w:after="40"/>
      </w:pPr>
      <w:r>
        <w:t>Retries seulement sur opérations idempotentes / sûres.</w:t>
      </w:r>
    </w:p>
    <w:p>
      <w:pPr>
        <w:spacing w:after="100"/>
      </w:pPr>
      <w:r>
        <w:t>Tests ciblés : deux agents claim simultané ; deux superviseurs réassignent ; clôture pendant transfert ; fusion de doublon concurrente.</w:t>
      </w:r>
    </w:p>
    <w:p>
      <w:pPr>
        <w:pStyle w:val="Heading3"/>
        <w:keepNext/>
        <w:spacing w:before="180" w:after="80"/>
      </w:pPr>
      <w:r>
        <w:t>23.3 Temps</w:t>
      </w:r>
    </w:p>
    <w:p>
      <w:pPr>
        <w:spacing w:after="100"/>
      </w:pPr>
      <w:r>
        <w:t>Stocker les timestamps en UTC. Convertir dans le fuseau utilisateur/organisation pour affichage et calculs business-hours. Ne jamais dépendre de l’heure du navigateur comme source de vérité.</w:t>
      </w:r>
    </w:p>
    <w:p>
      <w:pPr>
        <w:pStyle w:val="Heading3"/>
        <w:keepNext/>
        <w:spacing w:before="180" w:after="80"/>
      </w:pPr>
      <w:r>
        <w:t>23.4 Pagination et index</w:t>
      </w:r>
    </w:p>
    <w:p>
      <w:pPr>
        <w:pStyle w:val="ListBullet"/>
        <w:spacing w:after="40"/>
      </w:pPr>
      <w:r>
        <w:t>Pagination ou virtualisation pour toute liste volumineuse.</w:t>
      </w:r>
    </w:p>
    <w:p>
      <w:pPr>
        <w:pStyle w:val="ListBullet"/>
        <w:spacing w:after="40"/>
      </w:pPr>
      <w:r>
        <w:t>Index notamment sur organization_id, service_id, status, priority, created_at et clés utiles au routage/territoire.</w:t>
      </w:r>
    </w:p>
    <w:p>
      <w:pPr>
        <w:pStyle w:val="ListBullet"/>
        <w:spacing w:after="40"/>
      </w:pPr>
      <w:r>
        <w:t>Éviter N+1 et chargements massifs.</w:t>
      </w:r>
    </w:p>
    <w:p>
      <w:pPr>
        <w:pStyle w:val="Heading2"/>
        <w:keepNext/>
        <w:spacing w:before="180" w:after="80"/>
      </w:pPr>
      <w:r>
        <w:t>24. Sécurité, confidentialité et rétention</w:t>
      </w:r>
    </w:p>
    <w:p>
      <w:pPr>
        <w:pStyle w:val="Heading3"/>
        <w:keepNext/>
        <w:spacing w:before="180" w:after="80"/>
      </w:pPr>
      <w:r>
        <w:t>24.1 Multi-tenant / RBAC / RLS</w:t>
      </w:r>
    </w:p>
    <w:p>
      <w:pPr>
        <w:spacing w:after="100"/>
      </w:pPr>
      <w:r>
        <w:t>Isolation stricte par organisation. Sécurité en profondeur : API/backend + RBAC + PostgreSQL/Supabase RLS. Un utilisateur A ne doit jamais pouvoir lire ou modifier B. Cas test automatique obligatoire.</w:t>
      </w:r>
    </w:p>
    <w:p>
      <w:pPr>
        <w:pStyle w:val="Heading3"/>
        <w:keepNext/>
        <w:spacing w:before="180" w:after="80"/>
      </w:pPr>
      <w:r>
        <w:t>24.2 Secrets et logs</w:t>
      </w:r>
    </w:p>
    <w:p>
      <w:pPr>
        <w:pStyle w:val="ListBullet"/>
        <w:spacing w:after="40"/>
      </w:pPr>
      <w:r>
        <w:t>Aucun secret dans Git ; variables d’environnement + .env.example sans valeurs sensibles.</w:t>
      </w:r>
    </w:p>
    <w:p>
      <w:pPr>
        <w:pStyle w:val="ListBullet"/>
        <w:spacing w:after="40"/>
      </w:pPr>
      <w:r>
        <w:t>Pas d’email, plaque, token de suivi ou donnée personnelle inutile en logs en clair.</w:t>
      </w:r>
    </w:p>
    <w:p>
      <w:pPr>
        <w:pStyle w:val="ListBullet"/>
        <w:spacing w:after="40"/>
      </w:pPr>
      <w:r>
        <w:t>Secret scanning GitHub et contrôle des dépendances.</w:t>
      </w:r>
    </w:p>
    <w:p>
      <w:pPr>
        <w:pStyle w:val="Heading3"/>
        <w:keepNext/>
        <w:spacing w:before="180" w:after="80"/>
      </w:pPr>
      <w:r>
        <w:t>24.3 Médias</w:t>
      </w:r>
    </w:p>
    <w:p>
      <w:pPr>
        <w:pStyle w:val="ListBullet"/>
        <w:spacing w:after="40"/>
      </w:pPr>
      <w:r>
        <w:t>Storage privé.</w:t>
      </w:r>
    </w:p>
    <w:p>
      <w:pPr>
        <w:pStyle w:val="ListBullet"/>
        <w:spacing w:after="40"/>
      </w:pPr>
      <w:r>
        <w:t>URLs signées temporaires.</w:t>
      </w:r>
    </w:p>
    <w:p>
      <w:pPr>
        <w:pStyle w:val="ListBullet"/>
        <w:spacing w:after="40"/>
      </w:pPr>
      <w:r>
        <w:t>Compression / redimensionnement si pertinent.</w:t>
      </w:r>
    </w:p>
    <w:p>
      <w:pPr>
        <w:pStyle w:val="ListBullet"/>
        <w:spacing w:after="40"/>
      </w:pPr>
      <w:r>
        <w:t>EXIF inutiles supprimés.</w:t>
      </w:r>
    </w:p>
    <w:p>
      <w:pPr>
        <w:pStyle w:val="ListBullet"/>
        <w:spacing w:after="40"/>
      </w:pPr>
      <w:r>
        <w:t>Pas de galerie publique ni recherche publique de plaque.</w:t>
      </w:r>
    </w:p>
    <w:p>
      <w:pPr>
        <w:pStyle w:val="Heading3"/>
        <w:keepNext/>
        <w:spacing w:before="180" w:after="80"/>
      </w:pPr>
      <w:r>
        <w:t>24.4 Minimisation et rétention</w:t>
      </w:r>
    </w:p>
    <w:p>
      <w:pPr>
        <w:spacing w:after="100"/>
      </w:pPr>
      <w:r>
        <w:t>Ne stocker que ce qui est nécessaire. Pas de fingerprint agressif. Séparer autant que possible données analytiques et données identifiantes.</w:t>
      </w:r>
    </w:p>
    <w:p>
      <w:pPr>
        <w:spacing w:after="100"/>
      </w:pPr>
      <w:r>
        <w:t>Le modèle doit supporter : type de donnée, created_at, closed_at, politique applicable, deletion_scheduled_at, organisation propriétaire. La durée finale de PROD est configurable et sera fixée avec les clients/DPO. Photos et plaques peuvent avoir une durée plus courte que les statistiques agrégées.</w:t>
      </w:r>
    </w:p>
    <w:p>
      <w:pPr>
        <w:pStyle w:val="Heading2"/>
        <w:keepNext/>
        <w:spacing w:before="180" w:after="80"/>
      </w:pPr>
      <w:r>
        <w:t>25. Performance, dépendances et observabilité</w:t>
      </w:r>
    </w:p>
    <w:p>
      <w:pPr>
        <w:pStyle w:val="Heading3"/>
        <w:keepNext/>
        <w:spacing w:before="180" w:after="80"/>
      </w:pPr>
      <w:r>
        <w:t>25.1 Dépendances</w:t>
      </w:r>
    </w:p>
    <w:p>
      <w:pPr>
        <w:pStyle w:val="ListBullet"/>
        <w:spacing w:after="40"/>
      </w:pPr>
      <w:r>
        <w:t>Réutiliser la stack existante avant d’ajouter une librairie.</w:t>
      </w:r>
    </w:p>
    <w:p>
      <w:pPr>
        <w:pStyle w:val="ListBullet"/>
        <w:spacing w:after="40"/>
      </w:pPr>
      <w:r>
        <w:t>Bibliothèques maintenues, poids raisonnable, justification des dépendances structurantes.</w:t>
      </w:r>
    </w:p>
    <w:p>
      <w:pPr>
        <w:pStyle w:val="ListBullet"/>
        <w:spacing w:after="40"/>
      </w:pPr>
      <w:r>
        <w:t>Dependabot ou équivalent + npm audit raisonnablement configuré.</w:t>
      </w:r>
    </w:p>
    <w:p>
      <w:pPr>
        <w:pStyle w:val="ListBullet"/>
        <w:spacing w:after="40"/>
      </w:pPr>
      <w:r>
        <w:t>Le lockfile est versionné.</w:t>
      </w:r>
    </w:p>
    <w:p>
      <w:pPr>
        <w:pStyle w:val="ListBullet"/>
        <w:spacing w:after="40"/>
      </w:pPr>
      <w:r>
        <w:t>Pas de changement d’architecture silencieux.</w:t>
      </w:r>
    </w:p>
    <w:p>
      <w:pPr>
        <w:pStyle w:val="Heading3"/>
        <w:keepNext/>
        <w:spacing w:before="180" w:after="80"/>
      </w:pPr>
      <w:r>
        <w:t>25.2 Performance</w:t>
      </w:r>
    </w:p>
    <w:p>
      <w:pPr>
        <w:pStyle w:val="ListBullet"/>
        <w:spacing w:after="40"/>
      </w:pPr>
      <w:r>
        <w:t>Parcours citoyen rapide sur mobile.</w:t>
      </w:r>
    </w:p>
    <w:p>
      <w:pPr>
        <w:pStyle w:val="ListBullet"/>
        <w:spacing w:after="40"/>
      </w:pPr>
      <w:r>
        <w:t>Images optimisées, lazy loading, skeleton states si utile.</w:t>
      </w:r>
    </w:p>
    <w:p>
      <w:pPr>
        <w:pStyle w:val="ListBullet"/>
        <w:spacing w:after="40"/>
      </w:pPr>
      <w:r>
        <w:t>Dashboard utilisable avec plusieurs milliers de signalements grâce à pagination/virtualisation.</w:t>
      </w:r>
    </w:p>
    <w:p>
      <w:pPr>
        <w:pStyle w:val="ListBullet"/>
        <w:spacing w:after="40"/>
      </w:pPr>
      <w:r>
        <w:t>Pas de médias géants ni recalculs inutiles.</w:t>
      </w:r>
    </w:p>
    <w:p>
      <w:pPr>
        <w:spacing w:after="100"/>
      </w:pPr>
      <w:r>
        <w:t>La performance perçue est aussi un sujet d’accessibilité.</w:t>
      </w:r>
    </w:p>
    <w:p>
      <w:pPr>
        <w:pStyle w:val="Heading3"/>
        <w:keepNext/>
        <w:spacing w:before="180" w:after="80"/>
      </w:pPr>
      <w:r>
        <w:t>25.3 Observabilité</w:t>
      </w:r>
    </w:p>
    <w:p>
      <w:pPr>
        <w:spacing w:after="100"/>
      </w:pPr>
      <w:r>
        <w:t>Dès DEV : logs structurés, erreurs applicatives, temps de réponse utiles, erreurs de routage, notifications échouées. Aucune usine à gaz, mais une capacité à expliquer pourquoi un signalement n’a pas été routé ou un email n’est pas parti.</w:t>
      </w:r>
    </w:p>
    <w:p>
      <w:pPr>
        <w:pStyle w:val="Heading2"/>
        <w:keepNext/>
        <w:spacing w:before="180" w:after="80"/>
      </w:pPr>
      <w:r>
        <w:t>26. Tests, non-régression et CI</w:t>
      </w:r>
    </w:p>
    <w:p>
      <w:pPr>
        <w:pStyle w:val="Heading3"/>
        <w:keepNext/>
        <w:spacing w:before="180" w:after="80"/>
      </w:pPr>
      <w:r>
        <w:t>26.1 Principe général</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Chaque bug corrigé doit produire un test qui aurait échoué avant le correctif et qui passe après.</w:t>
            </w:r>
          </w:p>
        </w:tc>
      </w:tr>
    </w:tbl>
    <w:p/>
    <w:p>
      <w:pPr>
        <w:spacing w:after="100"/>
      </w:pPr>
      <w:r>
        <w:t>Choisir le niveau selon le défaut : règle isolée → unitaire ; DB/auth/modules → intégration ; parcours utilisateur → E2E ; accessibilité → automatisé et/ou manuel documenté.</w:t>
      </w:r>
    </w:p>
    <w:p>
      <w:pPr>
        <w:pStyle w:val="Heading3"/>
        <w:keepNext/>
        <w:spacing w:before="180" w:after="80"/>
      </w:pPr>
      <w:r>
        <w:t>26.2 Unitaires</w:t>
      </w:r>
    </w:p>
    <w:p>
      <w:pPr>
        <w:pStyle w:val="ListBullet"/>
        <w:spacing w:after="40"/>
      </w:pPr>
      <w:r>
        <w:t>Routage</w:t>
      </w:r>
    </w:p>
    <w:p>
      <w:pPr>
        <w:pStyle w:val="ListBullet"/>
        <w:spacing w:after="40"/>
      </w:pPr>
      <w:r>
        <w:t>Priorité</w:t>
      </w:r>
    </w:p>
    <w:p>
      <w:pPr>
        <w:pStyle w:val="ListBullet"/>
        <w:spacing w:after="40"/>
      </w:pPr>
      <w:r>
        <w:t>SLA + horaires</w:t>
      </w:r>
    </w:p>
    <w:p>
      <w:pPr>
        <w:pStyle w:val="ListBullet"/>
        <w:spacing w:after="40"/>
      </w:pPr>
      <w:r>
        <w:t>Transitions de statut</w:t>
      </w:r>
    </w:p>
    <w:p>
      <w:pPr>
        <w:pStyle w:val="ListBullet"/>
        <w:spacing w:after="40"/>
      </w:pPr>
      <w:r>
        <w:t>Permissions / RBAC</w:t>
      </w:r>
    </w:p>
    <w:p>
      <w:pPr>
        <w:pStyle w:val="ListBullet"/>
        <w:spacing w:after="40"/>
      </w:pPr>
      <w:r>
        <w:t>Anti-abus</w:t>
      </w:r>
    </w:p>
    <w:p>
      <w:pPr>
        <w:pStyle w:val="ListBullet"/>
        <w:spacing w:after="40"/>
      </w:pPr>
      <w:r>
        <w:t>Doublons</w:t>
      </w:r>
    </w:p>
    <w:p>
      <w:pPr>
        <w:pStyle w:val="ListBullet"/>
        <w:spacing w:after="40"/>
      </w:pPr>
      <w:r>
        <w:t>File intelligente</w:t>
      </w:r>
    </w:p>
    <w:p>
      <w:pPr>
        <w:pStyle w:val="ListBullet"/>
        <w:spacing w:after="40"/>
      </w:pPr>
      <w:r>
        <w:t>Multi-tenant logique domaine</w:t>
      </w:r>
    </w:p>
    <w:p>
      <w:pPr>
        <w:spacing w:after="100"/>
      </w:pPr>
      <w:r>
        <w:t>Les tests doivent protéger le comportement, pas gonfler artificiellement un pourcentage de couverture. Pour les modules critiques, la couverture doit être forte et inclure les cas limites.</w:t>
      </w:r>
    </w:p>
    <w:p>
      <w:pPr>
        <w:pStyle w:val="Heading3"/>
        <w:keepNext/>
        <w:spacing w:before="180" w:after="80"/>
      </w:pPr>
      <w:r>
        <w:t>26.3 Intégration</w:t>
      </w:r>
    </w:p>
    <w:p>
      <w:pPr>
        <w:pStyle w:val="ListBullet"/>
        <w:spacing w:after="40"/>
      </w:pPr>
      <w:r>
        <w:t>PostgreSQL</w:t>
      </w:r>
    </w:p>
    <w:p>
      <w:pPr>
        <w:pStyle w:val="ListBullet"/>
        <w:spacing w:after="40"/>
      </w:pPr>
      <w:r>
        <w:t>RLS</w:t>
      </w:r>
    </w:p>
    <w:p>
      <w:pPr>
        <w:pStyle w:val="ListBullet"/>
        <w:spacing w:after="40"/>
      </w:pPr>
      <w:r>
        <w:t>RBAC</w:t>
      </w:r>
    </w:p>
    <w:p>
      <w:pPr>
        <w:pStyle w:val="ListBullet"/>
        <w:spacing w:after="40"/>
      </w:pPr>
      <w:r>
        <w:t>Auth</w:t>
      </w:r>
    </w:p>
    <w:p>
      <w:pPr>
        <w:pStyle w:val="ListBullet"/>
        <w:spacing w:after="40"/>
      </w:pPr>
      <w:r>
        <w:t>Storage</w:t>
      </w:r>
    </w:p>
    <w:p>
      <w:pPr>
        <w:pStyle w:val="ListBullet"/>
        <w:spacing w:after="40"/>
      </w:pPr>
      <w:r>
        <w:t>Routage</w:t>
      </w:r>
    </w:p>
    <w:p>
      <w:pPr>
        <w:pStyle w:val="ListBullet"/>
        <w:spacing w:after="40"/>
      </w:pPr>
      <w:r>
        <w:t>Notifications</w:t>
      </w:r>
    </w:p>
    <w:p>
      <w:pPr>
        <w:pStyle w:val="ListBullet"/>
        <w:spacing w:after="40"/>
      </w:pPr>
      <w:r>
        <w:t>Audit</w:t>
      </w:r>
    </w:p>
    <w:p>
      <w:pPr>
        <w:pStyle w:val="Heading3"/>
        <w:keepNext/>
        <w:spacing w:before="180" w:after="80"/>
      </w:pPr>
      <w:r>
        <w:t>26.4 E2E Playwright</w:t>
      </w:r>
    </w:p>
    <w:p>
      <w:pPr>
        <w:spacing w:after="100"/>
      </w:pPr>
      <w:r>
        <w:t>Flux critique : citoyen crée → bon territoire/org/service → agent claim → intervention → résolution → citoyen voit Résolu. Cas sécurité obligatoire : utilisateur org A ne peut pas accéder à org B.</w:t>
      </w:r>
    </w:p>
    <w:p>
      <w:pPr>
        <w:pStyle w:val="Heading3"/>
      </w:pPr>
      <w:r>
        <w:t>26.4.1 Page Objects Playwright et lisibilité des scénarios</w:t>
      </w:r>
    </w:p>
    <w:p>
      <w:pPr/>
      <w:r>
        <w:t>Décision verrouillée : les tests E2E ActiCiv utilisent des Page Objects et, lorsque pertinent, des Component Objects afin que les specs expriment d’abord le comportement et l’intention du scénario, pas la mécanique de l’interface.</w:t>
      </w:r>
    </w:p>
    <w:p>
      <w:pPr>
        <w:pStyle w:val="ListBullet"/>
      </w:pPr>
      <w:r>
        <w:t>Les locators, actions UI répétitives, navigation et attentes techniques réutilisables sont encapsulés dans les Page Objects / Component Objects.</w:t>
      </w:r>
    </w:p>
    <w:p>
      <w:pPr>
        <w:pStyle w:val="ListBullet"/>
      </w:pPr>
      <w:r>
        <w:t>Les noms de méthodes décrivent une intention utilisateur ou métier claire : `loginAsProfessional`, `selectCategory`, `submitReport`, `expectSubmitted` plutôt qu’une succession de clics anonymes.</w:t>
      </w:r>
    </w:p>
    <w:p>
      <w:pPr>
        <w:pStyle w:val="ListBullet"/>
      </w:pPr>
      <w:r>
        <w:t>Les assertions métier importantes restent visibles dans la spec, sauf helper d’assertion sémantique réellement réutilisé. Un POM ne doit pas masquer ce que le test vérifie.</w:t>
      </w:r>
    </w:p>
    <w:p>
      <w:pPr>
        <w:pStyle w:val="ListBullet"/>
      </w:pPr>
      <w:r>
        <w:t>Préférer les locators accessibles Playwright (`getByRole`, `getByLabel`, `getByText` lorsque stable). `data-testid` reste un dernier recours justifié, jamais le sélecteur par défaut.</w:t>
      </w:r>
    </w:p>
    <w:p>
      <w:pPr>
        <w:pStyle w:val="ListBullet"/>
      </w:pPr>
      <w:r>
        <w:t>Éviter les “God Page Objects” et les classes catalogue de sélecteurs : composer des objets de page et de composants réutilisables selon les vraies frontières UX.</w:t>
      </w:r>
    </w:p>
    <w:p>
      <w:pPr>
        <w:pStyle w:val="ListBullet"/>
      </w:pPr>
      <w:r>
        <w:t>Les fixtures peuvent fournir les objets de page, mais les tests restent isolés et indépendants. Aucun POM ne doit introduire de dépendance entre scénarios.</w:t>
      </w:r>
    </w:p>
    <w:p>
      <w:pPr>
        <w:pStyle w:val="ListBullet"/>
      </w:pPr>
      <w:r>
        <w:t>Toute nouvelle couverture E2E doit respecter ce modèle. Les tests existants sont migrés progressivement sans affaiblir les assertions ni supprimer de non-régression.</w:t>
      </w:r>
    </w:p>
    <w:p>
      <w:pPr>
        <w:pStyle w:val="Heading3"/>
        <w:keepNext/>
        <w:spacing w:before="180" w:after="80"/>
      </w:pPr>
      <w:r>
        <w:t>26.5 Accessibilité</w:t>
      </w:r>
    </w:p>
    <w:p>
      <w:pPr>
        <w:spacing w:after="100"/>
      </w:pPr>
      <w:r>
        <w:t>Automatisation lorsque possible, complétée par checks manuels VoiceOver, TalkBack, clavier, zoom, reduced motion.</w:t>
      </w:r>
    </w:p>
    <w:p>
      <w:pPr>
        <w:pStyle w:val="Heading3"/>
        <w:keepNext/>
        <w:spacing w:before="180" w:after="80"/>
      </w:pPr>
      <w:r>
        <w:t>26.6 CI</w:t>
      </w:r>
    </w:p>
    <w:p>
      <w:pPr>
        <w:spacing w:after="100"/>
      </w:pPr>
      <w:r>
        <w:t>Sur Pull Request selon pertinence : lint, TypeScript strict, unitaires, intégration ciblée, E2E critiques, accessibilité, audit dépendances/secrets. Main doit rester saine.</w:t>
      </w:r>
    </w:p>
    <w:p>
      <w:pPr>
        <w:spacing w:after="100"/>
      </w:pPr>
      <w:r>
        <w:t>Interdit pour “faire passer la CI” : supprimer un test valide, affaiblir une assertion sans justification, skipper un test critique, désactiver une règle métier ou RLS.</w:t>
      </w:r>
    </w:p>
    <w:p>
      <w:pPr>
        <w:pStyle w:val="Heading2"/>
        <w:keepNext/>
        <w:spacing w:before="180" w:after="80"/>
      </w:pPr>
      <w:r>
        <w:t>27. Environnements, seeds et ADR</w:t>
      </w:r>
    </w:p>
    <w:p>
      <w:pPr>
        <w:pStyle w:val="Heading3"/>
        <w:keepNext/>
        <w:spacing w:before="180" w:after="80"/>
      </w:pPr>
      <w:r>
        <w:t>27.1 Environnements</w:t>
      </w:r>
    </w:p>
    <w:p>
      <w:pPr>
        <w:spacing w:after="40"/>
      </w:pPr>
      <w:r>
        <w:t>1. DEV uniquement au départ.</w:t>
      </w:r>
    </w:p>
    <w:p>
      <w:pPr>
        <w:spacing w:after="40"/>
      </w:pPr>
      <w:r>
        <w:t>2. DEMO/STAGING quand le produit est propre et montrable.</w:t>
      </w:r>
    </w:p>
    <w:p>
      <w:pPr>
        <w:spacing w:after="40"/>
      </w:pPr>
      <w:r>
        <w:t>3. PROD uniquement avec vrai pilote/client.</w:t>
      </w:r>
    </w:p>
    <w:p>
      <w:pPr>
        <w:spacing w:after="100"/>
      </w:pPr>
      <w:r>
        <w:t>Préparer la séparation des configs, mais ne pas provisionner prématurément des environnements coûteux.</w:t>
      </w:r>
    </w:p>
    <w:p>
      <w:pPr>
        <w:pStyle w:val="Heading3"/>
        <w:keepNext/>
        <w:spacing w:before="180" w:after="80"/>
      </w:pPr>
      <w:r>
        <w:t>27.2 Données DEV et seeds</w:t>
      </w:r>
    </w:p>
    <w:p>
      <w:pPr>
        <w:spacing w:after="100"/>
      </w:pPr>
      <w:r>
        <w:t>Aucune donnée citoyenne réelle en DEV. Seeds reproductibles : au moins 3 organisations fictives, plusieurs services, agents/superviseurs/admins, territoires, catégories, SLA, horaires, 50–100 signalements réalistes avec statuts/priorités variés, couvert et hors couverture.</w:t>
      </w:r>
    </w:p>
    <w:p>
      <w:pPr>
        <w:pStyle w:val="Heading3"/>
        <w:keepNext/>
        <w:spacing w:before="180" w:after="80"/>
      </w:pPr>
      <w:r>
        <w:t>27.3 ADR</w:t>
      </w:r>
    </w:p>
    <w:p>
      <w:pPr>
        <w:spacing w:after="100"/>
      </w:pPr>
      <w:r>
        <w:t>Toute décision technique structurante non prévue va dans /docs/architecture-decisions avec contexte, options, décision et conséquences.</w:t>
      </w:r>
    </w:p>
    <w:p>
      <w:pPr>
        <w:pStyle w:val="Heading2"/>
        <w:keepNext/>
        <w:spacing w:before="180" w:after="80"/>
      </w:pPr>
      <w:r>
        <w:t>28. Règles de conduite imposées à l’agent de développement</w:t>
      </w:r>
    </w:p>
    <w:tbl>
      <w:tblPr>
        <w:tblStyle w:val="TableGrid"/>
        <w:tblW w:type="auto" w:w="0"/>
        <w:jc w:val="center"/>
        <w:tblLook w:firstColumn="1" w:firstRow="1" w:lastColumn="0" w:lastRow="0" w:noHBand="0" w:noVBand="1" w:val="04A0"/>
      </w:tblPr>
      <w:tblGrid>
        <w:gridCol w:w="5083"/>
        <w:gridCol w:w="5083"/>
      </w:tblGrid>
      <w:tr>
        <w:trPr>
          <w:cantSplit/>
        </w:trPr>
        <w:tc>
          <w:tcPr>
            <w:tcW w:type="dxa" w:w="2232"/>
            <w:shd w:fill="16324F"/>
            <w:tcMar>
              <w:top w:w="45" w:type="dxa"/>
              <w:start w:w="75" w:type="dxa"/>
              <w:bottom w:w="45" w:type="dxa"/>
              <w:end w:w="75" w:type="dxa"/>
            </w:tcMar>
          </w:tcPr>
          <w:p>
            <w:pPr>
              <w:spacing w:after="0" w:before="0"/>
            </w:pPr>
            <w:r>
              <w:rPr>
                <w:b/>
                <w:color w:val="FFFFFF"/>
                <w:sz w:val="16"/>
              </w:rPr>
              <w:t>Garde-fou</w:t>
            </w:r>
          </w:p>
        </w:tc>
        <w:tc>
          <w:tcPr>
            <w:tcW w:type="dxa" w:w="7848"/>
            <w:shd w:fill="16324F"/>
            <w:tcMar>
              <w:top w:w="45" w:type="dxa"/>
              <w:start w:w="75" w:type="dxa"/>
              <w:bottom w:w="45" w:type="dxa"/>
              <w:end w:w="75" w:type="dxa"/>
            </w:tcMar>
          </w:tcPr>
          <w:p>
            <w:pPr>
              <w:spacing w:after="0" w:before="0"/>
            </w:pPr>
            <w:r>
              <w:rPr>
                <w:b/>
                <w:color w:val="FFFFFF"/>
                <w:sz w:val="16"/>
              </w:rPr>
              <w:t>Règle non négociable</w:t>
            </w:r>
          </w:p>
        </w:tc>
      </w:tr>
      <w:tr>
        <w:trPr>
          <w:cantSplit/>
        </w:trPr>
        <w:tc>
          <w:tcPr>
            <w:tcW w:type="dxa" w:w="2232"/>
            <w:tcMar>
              <w:top w:w="45" w:type="dxa"/>
              <w:start w:w="75" w:type="dxa"/>
              <w:bottom w:w="45" w:type="dxa"/>
              <w:end w:w="75" w:type="dxa"/>
            </w:tcMar>
            <w:vAlign w:val="top"/>
          </w:tcPr>
          <w:p>
            <w:pPr>
              <w:spacing w:after="0" w:before="0"/>
            </w:pPr>
            <w:r>
              <w:rPr>
                <w:sz w:val="16"/>
              </w:rPr>
              <w:t>Scope</w:t>
            </w:r>
          </w:p>
        </w:tc>
        <w:tc>
          <w:tcPr>
            <w:tcW w:type="dxa" w:w="7848"/>
            <w:tcMar>
              <w:top w:w="45" w:type="dxa"/>
              <w:start w:w="75" w:type="dxa"/>
              <w:bottom w:w="45" w:type="dxa"/>
              <w:end w:w="75" w:type="dxa"/>
            </w:tcMar>
            <w:vAlign w:val="top"/>
          </w:tcPr>
          <w:p>
            <w:pPr>
              <w:spacing w:after="0" w:before="0"/>
            </w:pPr>
            <w:r>
              <w:rPr>
                <w:sz w:val="16"/>
              </w:rPr>
              <w:t>Ne pas coder une fonctionnalité hors phase “au cas où”. La documenter en Future Considerations.</w:t>
            </w:r>
          </w:p>
        </w:tc>
      </w:tr>
      <w:tr>
        <w:trPr>
          <w:cantSplit/>
        </w:trPr>
        <w:tc>
          <w:tcPr>
            <w:tcW w:type="dxa" w:w="2232"/>
            <w:tcMar>
              <w:top w:w="45" w:type="dxa"/>
              <w:start w:w="75" w:type="dxa"/>
              <w:bottom w:w="45" w:type="dxa"/>
              <w:end w:w="75" w:type="dxa"/>
            </w:tcMar>
            <w:vAlign w:val="top"/>
            <w:shd w:fill="F7FAFA"/>
          </w:tcPr>
          <w:p>
            <w:pPr>
              <w:spacing w:after="0" w:before="0"/>
            </w:pPr>
            <w:r>
              <w:rPr>
                <w:sz w:val="16"/>
              </w:rPr>
              <w:t>Ambiguïté</w:t>
            </w:r>
          </w:p>
        </w:tc>
        <w:tc>
          <w:tcPr>
            <w:tcW w:type="dxa" w:w="7848"/>
            <w:tcMar>
              <w:top w:w="45" w:type="dxa"/>
              <w:start w:w="75" w:type="dxa"/>
              <w:bottom w:w="45" w:type="dxa"/>
              <w:end w:w="75" w:type="dxa"/>
            </w:tcMar>
            <w:vAlign w:val="top"/>
            <w:shd w:fill="F7FAFA"/>
          </w:tcPr>
          <w:p>
            <w:pPr>
              <w:spacing w:after="0" w:before="0"/>
            </w:pPr>
            <w:r>
              <w:rPr>
                <w:sz w:val="16"/>
              </w:rPr>
              <w:t>Ne pas inventer un besoin. Choisir l’implémentation la plus simple, réversible et compatible.</w:t>
            </w:r>
          </w:p>
        </w:tc>
      </w:tr>
      <w:tr>
        <w:trPr>
          <w:cantSplit/>
        </w:trPr>
        <w:tc>
          <w:tcPr>
            <w:tcW w:type="dxa" w:w="2232"/>
            <w:tcMar>
              <w:top w:w="45" w:type="dxa"/>
              <w:start w:w="75" w:type="dxa"/>
              <w:bottom w:w="45" w:type="dxa"/>
              <w:end w:w="75" w:type="dxa"/>
            </w:tcMar>
            <w:vAlign w:val="top"/>
          </w:tcPr>
          <w:p>
            <w:pPr>
              <w:spacing w:after="0" w:before="0"/>
            </w:pPr>
            <w:r>
              <w:rPr>
                <w:sz w:val="16"/>
              </w:rPr>
              <w:t>Dépendance</w:t>
            </w:r>
          </w:p>
        </w:tc>
        <w:tc>
          <w:tcPr>
            <w:tcW w:type="dxa" w:w="7848"/>
            <w:tcMar>
              <w:top w:w="45" w:type="dxa"/>
              <w:start w:w="75" w:type="dxa"/>
              <w:bottom w:w="45" w:type="dxa"/>
              <w:end w:w="75" w:type="dxa"/>
            </w:tcMar>
            <w:vAlign w:val="top"/>
          </w:tcPr>
          <w:p>
            <w:pPr>
              <w:spacing w:after="0" w:before="0"/>
            </w:pPr>
            <w:r>
              <w:rPr>
                <w:sz w:val="16"/>
              </w:rPr>
              <w:t>Expliquer et justifier avant tout nouveau framework/service/dépendance structurante.</w:t>
            </w:r>
          </w:p>
        </w:tc>
      </w:tr>
      <w:tr>
        <w:trPr>
          <w:cantSplit/>
        </w:trPr>
        <w:tc>
          <w:tcPr>
            <w:tcW w:type="dxa" w:w="2232"/>
            <w:tcMar>
              <w:top w:w="45" w:type="dxa"/>
              <w:start w:w="75" w:type="dxa"/>
              <w:bottom w:w="45" w:type="dxa"/>
              <w:end w:w="75" w:type="dxa"/>
            </w:tcMar>
            <w:vAlign w:val="top"/>
            <w:shd w:fill="F7FAFA"/>
          </w:tcPr>
          <w:p>
            <w:pPr>
              <w:spacing w:after="0" w:before="0"/>
            </w:pPr>
            <w:r>
              <w:rPr>
                <w:sz w:val="16"/>
              </w:rPr>
              <w:t>Architecture</w:t>
            </w:r>
          </w:p>
        </w:tc>
        <w:tc>
          <w:tcPr>
            <w:tcW w:type="dxa" w:w="7848"/>
            <w:tcMar>
              <w:top w:w="45" w:type="dxa"/>
              <w:start w:w="75" w:type="dxa"/>
              <w:bottom w:w="45" w:type="dxa"/>
              <w:end w:w="75" w:type="dxa"/>
            </w:tcMar>
            <w:vAlign w:val="top"/>
            <w:shd w:fill="F7FAFA"/>
          </w:tcPr>
          <w:p>
            <w:pPr>
              <w:spacing w:after="0" w:before="0"/>
            </w:pPr>
            <w:r>
              <w:rPr>
                <w:sz w:val="16"/>
              </w:rPr>
              <w:t>Ne pas déplacer des responsabilités ou changer la stack sans décision explicite/ADR.</w:t>
            </w:r>
          </w:p>
        </w:tc>
      </w:tr>
      <w:tr>
        <w:trPr>
          <w:cantSplit/>
        </w:trPr>
        <w:tc>
          <w:tcPr>
            <w:tcW w:type="dxa" w:w="2232"/>
            <w:tcMar>
              <w:top w:w="45" w:type="dxa"/>
              <w:start w:w="75" w:type="dxa"/>
              <w:bottom w:w="45" w:type="dxa"/>
              <w:end w:w="75" w:type="dxa"/>
            </w:tcMar>
            <w:vAlign w:val="top"/>
          </w:tcPr>
          <w:p>
            <w:pPr>
              <w:spacing w:after="0" w:before="0"/>
            </w:pPr>
            <w:r>
              <w:rPr>
                <w:sz w:val="16"/>
              </w:rPr>
              <w:t>UI</w:t>
            </w:r>
          </w:p>
        </w:tc>
        <w:tc>
          <w:tcPr>
            <w:tcW w:type="dxa" w:w="7848"/>
            <w:tcMar>
              <w:top w:w="45" w:type="dxa"/>
              <w:start w:w="75" w:type="dxa"/>
              <w:bottom w:w="45" w:type="dxa"/>
              <w:end w:w="75" w:type="dxa"/>
            </w:tcMar>
            <w:vAlign w:val="top"/>
          </w:tcPr>
          <w:p>
            <w:pPr>
              <w:spacing w:after="0" w:before="0"/>
            </w:pPr>
            <w:r>
              <w:rPr>
                <w:sz w:val="16"/>
              </w:rPr>
              <w:t>Pas de logique métier critique dans les composants.</w:t>
            </w:r>
          </w:p>
        </w:tc>
      </w:tr>
      <w:tr>
        <w:trPr>
          <w:cantSplit/>
        </w:trPr>
        <w:tc>
          <w:tcPr>
            <w:tcW w:type="dxa" w:w="2232"/>
            <w:tcMar>
              <w:top w:w="45" w:type="dxa"/>
              <w:start w:w="75" w:type="dxa"/>
              <w:bottom w:w="45" w:type="dxa"/>
              <w:end w:w="75" w:type="dxa"/>
            </w:tcMar>
            <w:vAlign w:val="top"/>
            <w:shd w:fill="F7FAFA"/>
          </w:tcPr>
          <w:p>
            <w:pPr>
              <w:spacing w:after="0" w:before="0"/>
            </w:pPr>
            <w:r>
              <w:rPr>
                <w:sz w:val="16"/>
              </w:rPr>
              <w:t>Sécurité</w:t>
            </w:r>
          </w:p>
        </w:tc>
        <w:tc>
          <w:tcPr>
            <w:tcW w:type="dxa" w:w="7848"/>
            <w:tcMar>
              <w:top w:w="45" w:type="dxa"/>
              <w:start w:w="75" w:type="dxa"/>
              <w:bottom w:w="45" w:type="dxa"/>
              <w:end w:w="75" w:type="dxa"/>
            </w:tcMar>
            <w:vAlign w:val="top"/>
            <w:shd w:fill="F7FAFA"/>
          </w:tcPr>
          <w:p>
            <w:pPr>
              <w:spacing w:after="0" w:before="0"/>
            </w:pPr>
            <w:r>
              <w:rPr>
                <w:sz w:val="16"/>
              </w:rPr>
              <w:t>Jamais de bypass RLS ou permission pour “faire marcher la démo”.</w:t>
            </w:r>
          </w:p>
        </w:tc>
      </w:tr>
      <w:tr>
        <w:trPr>
          <w:cantSplit/>
        </w:trPr>
        <w:tc>
          <w:tcPr>
            <w:tcW w:type="dxa" w:w="2232"/>
            <w:tcMar>
              <w:top w:w="45" w:type="dxa"/>
              <w:start w:w="75" w:type="dxa"/>
              <w:bottom w:w="45" w:type="dxa"/>
              <w:end w:w="75" w:type="dxa"/>
            </w:tcMar>
            <w:vAlign w:val="top"/>
          </w:tcPr>
          <w:p>
            <w:pPr>
              <w:spacing w:after="0" w:before="0"/>
            </w:pPr>
            <w:r>
              <w:rPr>
                <w:sz w:val="16"/>
              </w:rPr>
              <w:t>TypeScript</w:t>
            </w:r>
          </w:p>
        </w:tc>
        <w:tc>
          <w:tcPr>
            <w:tcW w:type="dxa" w:w="7848"/>
            <w:tcMar>
              <w:top w:w="45" w:type="dxa"/>
              <w:start w:w="75" w:type="dxa"/>
              <w:bottom w:w="45" w:type="dxa"/>
              <w:end w:w="75" w:type="dxa"/>
            </w:tcMar>
            <w:vAlign w:val="top"/>
          </w:tcPr>
          <w:p>
            <w:pPr>
              <w:spacing w:after="0" w:before="0"/>
            </w:pPr>
            <w:r>
              <w:rPr>
                <w:sz w:val="16"/>
              </w:rPr>
              <w:t>Strict ; pas de any sauf exception documentée.</w:t>
            </w:r>
          </w:p>
        </w:tc>
      </w:tr>
      <w:tr>
        <w:trPr>
          <w:cantSplit/>
        </w:trPr>
        <w:tc>
          <w:tcPr>
            <w:tcW w:type="dxa" w:w="2232"/>
            <w:tcMar>
              <w:top w:w="45" w:type="dxa"/>
              <w:start w:w="75" w:type="dxa"/>
              <w:bottom w:w="45" w:type="dxa"/>
              <w:end w:w="75" w:type="dxa"/>
            </w:tcMar>
            <w:vAlign w:val="top"/>
            <w:shd w:fill="F7FAFA"/>
          </w:tcPr>
          <w:p>
            <w:pPr>
              <w:spacing w:after="0" w:before="0"/>
            </w:pPr>
            <w:r>
              <w:rPr>
                <w:sz w:val="16"/>
              </w:rPr>
              <w:t>Tests</w:t>
            </w:r>
          </w:p>
        </w:tc>
        <w:tc>
          <w:tcPr>
            <w:tcW w:type="dxa" w:w="7848"/>
            <w:tcMar>
              <w:top w:w="45" w:type="dxa"/>
              <w:start w:w="75" w:type="dxa"/>
              <w:bottom w:w="45" w:type="dxa"/>
              <w:end w:w="75" w:type="dxa"/>
            </w:tcMar>
            <w:vAlign w:val="top"/>
            <w:shd w:fill="F7FAFA"/>
          </w:tcPr>
          <w:p>
            <w:pPr>
              <w:spacing w:after="0" w:before="0"/>
            </w:pPr>
            <w:r>
              <w:rPr>
                <w:sz w:val="16"/>
              </w:rPr>
              <w:t>Jamais supprimer/affaiblir un test pour passer. Chaque bug → test de non-régression.</w:t>
            </w:r>
          </w:p>
        </w:tc>
      </w:tr>
      <w:tr>
        <w:trPr>
          <w:cantSplit/>
        </w:trPr>
        <w:tc>
          <w:tcPr>
            <w:tcW w:type="dxa" w:w="2232"/>
            <w:tcMar>
              <w:top w:w="45" w:type="dxa"/>
              <w:start w:w="75" w:type="dxa"/>
              <w:bottom w:w="45" w:type="dxa"/>
              <w:end w:w="75" w:type="dxa"/>
            </w:tcMar>
            <w:vAlign w:val="top"/>
          </w:tcPr>
          <w:p>
            <w:pPr>
              <w:spacing w:after="0" w:before="0"/>
            </w:pPr>
            <w:r>
              <w:rPr>
                <w:sz w:val="16"/>
              </w:rPr>
              <w:t>Design system</w:t>
            </w:r>
          </w:p>
        </w:tc>
        <w:tc>
          <w:tcPr>
            <w:tcW w:type="dxa" w:w="7848"/>
            <w:tcMar>
              <w:top w:w="45" w:type="dxa"/>
              <w:start w:w="75" w:type="dxa"/>
              <w:bottom w:w="45" w:type="dxa"/>
              <w:end w:w="75" w:type="dxa"/>
            </w:tcMar>
            <w:vAlign w:val="top"/>
          </w:tcPr>
          <w:p>
            <w:pPr>
              <w:spacing w:after="0" w:before="0"/>
            </w:pPr>
            <w:r>
              <w:rPr>
                <w:sz w:val="16"/>
              </w:rPr>
              <w:t>Ne pas dupliquer un composant si l’existant peut être étendu proprement.</w:t>
            </w:r>
          </w:p>
        </w:tc>
      </w:tr>
      <w:tr>
        <w:trPr>
          <w:cantSplit/>
        </w:trPr>
        <w:tc>
          <w:tcPr>
            <w:tcW w:type="dxa" w:w="2232"/>
            <w:tcMar>
              <w:top w:w="45" w:type="dxa"/>
              <w:start w:w="75" w:type="dxa"/>
              <w:bottom w:w="45" w:type="dxa"/>
              <w:end w:w="75" w:type="dxa"/>
            </w:tcMar>
            <w:vAlign w:val="top"/>
            <w:shd w:fill="F7FAFA"/>
          </w:tcPr>
          <w:p>
            <w:pPr>
              <w:spacing w:after="0" w:before="0"/>
            </w:pPr>
            <w:r>
              <w:rPr>
                <w:sz w:val="16"/>
              </w:rPr>
              <w:t>Branding</w:t>
            </w:r>
          </w:p>
        </w:tc>
        <w:tc>
          <w:tcPr>
            <w:tcW w:type="dxa" w:w="7848"/>
            <w:tcMar>
              <w:top w:w="45" w:type="dxa"/>
              <w:start w:w="75" w:type="dxa"/>
              <w:bottom w:w="45" w:type="dxa"/>
              <w:end w:w="75" w:type="dxa"/>
            </w:tcMar>
            <w:vAlign w:val="top"/>
            <w:shd w:fill="F7FAFA"/>
          </w:tcPr>
          <w:p>
            <w:pPr>
              <w:spacing w:after="0" w:before="0"/>
            </w:pPr>
            <w:r>
              <w:rPr>
                <w:sz w:val="16"/>
              </w:rPr>
              <w:t>Pas de nom, logo, couleurs ou domaines codés en dur.</w:t>
            </w:r>
          </w:p>
        </w:tc>
      </w:tr>
      <w:tr>
        <w:trPr>
          <w:cantSplit/>
        </w:trPr>
        <w:tc>
          <w:tcPr>
            <w:tcW w:type="dxa" w:w="2232"/>
            <w:tcMar>
              <w:top w:w="45" w:type="dxa"/>
              <w:start w:w="75" w:type="dxa"/>
              <w:bottom w:w="45" w:type="dxa"/>
              <w:end w:w="75" w:type="dxa"/>
            </w:tcMar>
            <w:vAlign w:val="top"/>
          </w:tcPr>
          <w:p>
            <w:pPr>
              <w:spacing w:after="0" w:before="0"/>
            </w:pPr>
            <w:r>
              <w:rPr>
                <w:sz w:val="16"/>
              </w:rPr>
              <w:t>Données métier</w:t>
            </w:r>
          </w:p>
        </w:tc>
        <w:tc>
          <w:tcPr>
            <w:tcW w:type="dxa" w:w="7848"/>
            <w:tcMar>
              <w:top w:w="45" w:type="dxa"/>
              <w:start w:w="75" w:type="dxa"/>
              <w:bottom w:w="45" w:type="dxa"/>
              <w:end w:w="75" w:type="dxa"/>
            </w:tcMar>
            <w:vAlign w:val="top"/>
          </w:tcPr>
          <w:p>
            <w:pPr>
              <w:spacing w:after="0" w:before="0"/>
            </w:pPr>
            <w:r>
              <w:rPr>
                <w:sz w:val="16"/>
              </w:rPr>
              <w:t>Pas de territoires, catégories, coordonnées ou règles critiques codés en dur.</w:t>
            </w:r>
          </w:p>
        </w:tc>
      </w:tr>
      <w:tr>
        <w:trPr>
          <w:cantSplit/>
        </w:trPr>
        <w:tc>
          <w:tcPr>
            <w:tcW w:type="dxa" w:w="2232"/>
            <w:tcMar>
              <w:top w:w="45" w:type="dxa"/>
              <w:start w:w="75" w:type="dxa"/>
              <w:bottom w:w="45" w:type="dxa"/>
              <w:end w:w="75" w:type="dxa"/>
            </w:tcMar>
            <w:vAlign w:val="top"/>
            <w:shd w:fill="F7FAFA"/>
          </w:tcPr>
          <w:p>
            <w:pPr>
              <w:spacing w:after="0" w:before="0"/>
            </w:pPr>
            <w:r>
              <w:rPr>
                <w:sz w:val="16"/>
              </w:rPr>
              <w:t>DEV</w:t>
            </w:r>
          </w:p>
        </w:tc>
        <w:tc>
          <w:tcPr>
            <w:tcW w:type="dxa" w:w="7848"/>
            <w:tcMar>
              <w:top w:w="45" w:type="dxa"/>
              <w:start w:w="75" w:type="dxa"/>
              <w:bottom w:w="45" w:type="dxa"/>
              <w:end w:w="75" w:type="dxa"/>
            </w:tcMar>
            <w:vAlign w:val="top"/>
            <w:shd w:fill="F7FAFA"/>
          </w:tcPr>
          <w:p>
            <w:pPr>
              <w:spacing w:after="0" w:before="0"/>
            </w:pPr>
            <w:r>
              <w:rPr>
                <w:sz w:val="16"/>
              </w:rPr>
              <w:t>Uniquement données fictives.</w:t>
            </w:r>
          </w:p>
        </w:tc>
      </w:tr>
      <w:tr>
        <w:trPr>
          <w:cantSplit/>
        </w:trPr>
        <w:tc>
          <w:tcPr>
            <w:tcW w:type="dxa" w:w="2232"/>
            <w:tcMar>
              <w:top w:w="45" w:type="dxa"/>
              <w:start w:w="75" w:type="dxa"/>
              <w:bottom w:w="45" w:type="dxa"/>
              <w:end w:w="75" w:type="dxa"/>
            </w:tcMar>
            <w:vAlign w:val="top"/>
          </w:tcPr>
          <w:p>
            <w:pPr>
              <w:spacing w:after="0" w:before="0"/>
            </w:pPr>
            <w:r>
              <w:rPr>
                <w:sz w:val="16"/>
              </w:rPr>
              <w:t>Fin de phase</w:t>
            </w:r>
          </w:p>
        </w:tc>
        <w:tc>
          <w:tcPr>
            <w:tcW w:type="dxa" w:w="7848"/>
            <w:tcMar>
              <w:top w:w="45" w:type="dxa"/>
              <w:start w:w="75" w:type="dxa"/>
              <w:bottom w:w="45" w:type="dxa"/>
              <w:end w:w="75" w:type="dxa"/>
            </w:tcMar>
            <w:vAlign w:val="top"/>
          </w:tcPr>
          <w:p>
            <w:pPr>
              <w:spacing w:after="0" w:before="0"/>
            </w:pPr>
            <w:r>
              <w:rPr>
                <w:sz w:val="16"/>
              </w:rPr>
              <w:t>Fournir implémenté, migrations, tests, résultats, a11y, limites, dette, ADR, docs, prochaine étape.</w:t>
            </w:r>
          </w:p>
        </w:tc>
      </w:tr>
      <w:tr>
        <w:tc>
          <w:tcPr>
            <w:tcW w:type="dxa" w:w="5083"/>
          </w:tcPr>
          <w:p>
            <w:r>
              <w:t>Architecture hexagonale</w:t>
            </w:r>
          </w:p>
        </w:tc>
        <w:tc>
          <w:tcPr>
            <w:tcW w:type="dxa" w:w="5083"/>
          </w:tcPr>
          <w:p>
            <w:r>
              <w:t>Appliquer les principes hexagonaux aux modules métier critiques : domaine indépendant des frameworks, cas d’usage explicites, ports aux vraies frontières, adaptateurs infrastructure. Ne pas sur-abstraire les modules simples.</w:t>
            </w:r>
          </w:p>
        </w:tc>
      </w:tr>
    </w:tbl>
    <w:p/>
    <w:p>
      <w:r>
        <w:br w:type="page"/>
      </w:r>
    </w:p>
    <w:p>
      <w:pPr>
        <w:pStyle w:val="Heading1"/>
        <w:keepNext/>
        <w:spacing w:before="180" w:after="80"/>
      </w:pPr>
      <w:r>
        <w:t>Partie F — Delivery</w:t>
      </w:r>
    </w:p>
    <w:p>
      <w:pPr>
        <w:pStyle w:val="Heading2"/>
        <w:keepNext/>
        <w:spacing w:before="180" w:after="80"/>
      </w:pPr>
      <w:r>
        <w:t>29. Phasage de développement</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shd w:fill="16324F"/>
            <w:tcMar>
              <w:top w:w="80" w:type="dxa"/>
              <w:start w:w="90" w:type="dxa"/>
              <w:bottom w:w="80" w:type="dxa"/>
              <w:end w:w="90" w:type="dxa"/>
            </w:tcMar>
          </w:tcPr>
          <w:p>
            <w:r>
              <w:rPr>
                <w:b/>
                <w:color w:val="FFFFFF"/>
                <w:sz w:val="18"/>
              </w:rPr>
              <w:t>Phase</w:t>
            </w:r>
          </w:p>
        </w:tc>
        <w:tc>
          <w:tcPr>
            <w:tcW w:type="dxa" w:w="7632"/>
            <w:shd w:fill="16324F"/>
            <w:tcMar>
              <w:top w:w="80" w:type="dxa"/>
              <w:start w:w="90" w:type="dxa"/>
              <w:bottom w:w="80" w:type="dxa"/>
              <w:end w:w="90" w:type="dxa"/>
            </w:tcMar>
          </w:tcPr>
          <w:p>
            <w:r>
              <w:rPr>
                <w:b/>
                <w:color w:val="FFFFFF"/>
                <w:sz w:val="18"/>
              </w:rPr>
              <w:t>Objectif</w:t>
            </w:r>
          </w:p>
        </w:tc>
      </w:tr>
      <w:tr>
        <w:trPr>
          <w:cantSplit/>
        </w:trPr>
        <w:tc>
          <w:tcPr>
            <w:tcW w:type="dxa" w:w="2448"/>
            <w:tcMar>
              <w:top w:w="80" w:type="dxa"/>
              <w:start w:w="90" w:type="dxa"/>
              <w:bottom w:w="80" w:type="dxa"/>
              <w:end w:w="90" w:type="dxa"/>
            </w:tcMar>
            <w:vAlign w:val="top"/>
          </w:tcPr>
          <w:p>
            <w:pPr>
              <w:spacing w:after="40"/>
            </w:pPr>
            <w:r>
              <w:rPr>
                <w:sz w:val="18"/>
              </w:rPr>
              <w:t>1 — Foundation</w:t>
            </w:r>
          </w:p>
        </w:tc>
        <w:tc>
          <w:tcPr>
            <w:tcW w:type="dxa" w:w="7632"/>
            <w:tcMar>
              <w:top w:w="80" w:type="dxa"/>
              <w:start w:w="90" w:type="dxa"/>
              <w:bottom w:w="80" w:type="dxa"/>
              <w:end w:w="90" w:type="dxa"/>
            </w:tcMar>
            <w:vAlign w:val="top"/>
          </w:tcPr>
          <w:p>
            <w:pPr>
              <w:spacing w:after="40"/>
            </w:pPr>
            <w:r>
              <w:rPr>
                <w:sz w:val="18"/>
              </w:rPr>
              <w:t>Monorepo, TS strict, Tailwind/shadcn, design tokens, branding config, Supabase DEV, modules, lint, tests, CI, ADR, seed framework.</w:t>
            </w:r>
          </w:p>
        </w:tc>
      </w:tr>
      <w:tr>
        <w:trPr>
          <w:cantSplit/>
        </w:trPr>
        <w:tc>
          <w:tcPr>
            <w:tcW w:type="dxa" w:w="2448"/>
            <w:tcMar>
              <w:top w:w="80" w:type="dxa"/>
              <w:start w:w="90" w:type="dxa"/>
              <w:bottom w:w="80" w:type="dxa"/>
              <w:end w:w="90" w:type="dxa"/>
            </w:tcMar>
            <w:vAlign w:val="top"/>
            <w:shd w:fill="F7FAFA"/>
          </w:tcPr>
          <w:p>
            <w:pPr>
              <w:spacing w:after="40"/>
            </w:pPr>
            <w:r>
              <w:rPr>
                <w:sz w:val="18"/>
              </w:rPr>
              <w:t>2 — Core data &amp; security</w:t>
            </w:r>
          </w:p>
        </w:tc>
        <w:tc>
          <w:tcPr>
            <w:tcW w:type="dxa" w:w="7632"/>
            <w:tcMar>
              <w:top w:w="80" w:type="dxa"/>
              <w:start w:w="90" w:type="dxa"/>
              <w:bottom w:w="80" w:type="dxa"/>
              <w:end w:w="90" w:type="dxa"/>
            </w:tcMar>
            <w:vAlign w:val="top"/>
            <w:shd w:fill="F7FAFA"/>
          </w:tcPr>
          <w:p>
            <w:pPr>
              <w:spacing w:after="40"/>
            </w:pPr>
            <w:r>
              <w:rPr>
                <w:sz w:val="18"/>
              </w:rPr>
              <w:t>Organisations, territoires, services, rôles, RLS, audit, catégories, SLA.</w:t>
            </w:r>
          </w:p>
        </w:tc>
      </w:tr>
      <w:tr>
        <w:tc>
          <w:tcPr>
            <w:tcW w:type="dxa" w:w="5083"/>
          </w:tcPr>
          <w:p>
            <w:r>
              <w:t>2 bis — Engineering Quality, Internationalisation &amp; Knowledge Foundations</w:t>
            </w:r>
          </w:p>
        </w:tc>
        <w:tc>
          <w:tcPr>
            <w:tcW w:type="dxa" w:w="5083"/>
          </w:tcPr>
          <w:p>
            <w:r>
              <w:t>POM/Component Objects et tagging Playwright, TDD/test-first, i18n locale-first, couverture et reporting QA, Quality Gates DEV→DEMO→PROD, Security Assurance/pentest readiness, Analytics/Audit/Logs séparés, Knowledge Base métier/technique, ADR, Rules &amp; Skills IA/dev, Definition of Done et fondations du Quality Center.</w:t>
            </w:r>
          </w:p>
        </w:tc>
      </w:tr>
      <w:tr>
        <w:trPr>
          <w:cantSplit/>
        </w:trPr>
        <w:tc>
          <w:tcPr>
            <w:tcW w:type="dxa" w:w="2448"/>
            <w:tcMar>
              <w:top w:w="80" w:type="dxa"/>
              <w:start w:w="90" w:type="dxa"/>
              <w:bottom w:w="80" w:type="dxa"/>
              <w:end w:w="90" w:type="dxa"/>
            </w:tcMar>
            <w:vAlign w:val="top"/>
          </w:tcPr>
          <w:p>
            <w:pPr>
              <w:spacing w:after="40"/>
            </w:pPr>
            <w:r>
              <w:rPr>
                <w:sz w:val="18"/>
              </w:rPr>
              <w:t>3 — Citizen flow</w:t>
            </w:r>
          </w:p>
        </w:tc>
        <w:tc>
          <w:tcPr>
            <w:tcW w:type="dxa" w:w="7632"/>
            <w:tcMar>
              <w:top w:w="80" w:type="dxa"/>
              <w:start w:w="90" w:type="dxa"/>
              <w:bottom w:w="80" w:type="dxa"/>
              <w:end w:w="90" w:type="dxa"/>
            </w:tcMar>
            <w:vAlign w:val="top"/>
          </w:tcPr>
          <w:p>
            <w:pPr>
              <w:spacing w:after="40"/>
            </w:pPr>
            <w:r>
              <w:rPr>
                <w:sz w:val="18"/>
              </w:rPr>
              <w:t>Signalement sans compte, géoloc, photos facultatives, hors périmètre, suivi.</w:t>
            </w:r>
          </w:p>
        </w:tc>
      </w:tr>
      <w:tr>
        <w:trPr>
          <w:cantSplit/>
        </w:trPr>
        <w:tc>
          <w:tcPr>
            <w:tcW w:type="dxa" w:w="2448"/>
            <w:tcMar>
              <w:top w:w="80" w:type="dxa"/>
              <w:start w:w="90" w:type="dxa"/>
              <w:bottom w:w="80" w:type="dxa"/>
              <w:end w:w="90" w:type="dxa"/>
            </w:tcMar>
            <w:vAlign w:val="top"/>
            <w:shd w:fill="F7FAFA"/>
          </w:tcPr>
          <w:p>
            <w:pPr>
              <w:spacing w:after="40"/>
            </w:pPr>
            <w:r>
              <w:rPr>
                <w:sz w:val="18"/>
              </w:rPr>
              <w:t>4 — Agent flow</w:t>
            </w:r>
          </w:p>
        </w:tc>
        <w:tc>
          <w:tcPr>
            <w:tcW w:type="dxa" w:w="7632"/>
            <w:tcMar>
              <w:top w:w="80" w:type="dxa"/>
              <w:start w:w="90" w:type="dxa"/>
              <w:bottom w:w="80" w:type="dxa"/>
              <w:end w:w="90" w:type="dxa"/>
            </w:tcMar>
            <w:vAlign w:val="top"/>
            <w:shd w:fill="F7FAFA"/>
          </w:tcPr>
          <w:p>
            <w:pPr>
              <w:spacing w:after="40"/>
            </w:pPr>
            <w:r>
              <w:rPr>
                <w:sz w:val="18"/>
              </w:rPr>
              <w:t>File intelligente, claim, mes interventions, états et notes.</w:t>
            </w:r>
          </w:p>
        </w:tc>
      </w:tr>
      <w:tr>
        <w:trPr>
          <w:cantSplit/>
        </w:trPr>
        <w:tc>
          <w:tcPr>
            <w:tcW w:type="dxa" w:w="2448"/>
            <w:tcMar>
              <w:top w:w="80" w:type="dxa"/>
              <w:start w:w="90" w:type="dxa"/>
              <w:bottom w:w="80" w:type="dxa"/>
              <w:end w:w="90" w:type="dxa"/>
            </w:tcMar>
            <w:vAlign w:val="top"/>
          </w:tcPr>
          <w:p>
            <w:pPr>
              <w:spacing w:after="40"/>
            </w:pPr>
            <w:r>
              <w:rPr>
                <w:sz w:val="18"/>
              </w:rPr>
              <w:t>5 — Supervisor/Admin</w:t>
            </w:r>
          </w:p>
        </w:tc>
        <w:tc>
          <w:tcPr>
            <w:tcW w:type="dxa" w:w="7632"/>
            <w:tcMar>
              <w:top w:w="80" w:type="dxa"/>
              <w:start w:w="90" w:type="dxa"/>
              <w:bottom w:w="80" w:type="dxa"/>
              <w:end w:w="90" w:type="dxa"/>
            </w:tcMar>
            <w:vAlign w:val="top"/>
          </w:tcPr>
          <w:p>
            <w:pPr>
              <w:spacing w:after="40"/>
            </w:pPr>
            <w:r>
              <w:rPr>
                <w:sz w:val="18"/>
              </w:rPr>
              <w:t>Supervision, assignation, SLA, tiers, transferts, branding, configuration.</w:t>
            </w:r>
          </w:p>
        </w:tc>
      </w:tr>
      <w:tr>
        <w:trPr>
          <w:cantSplit/>
        </w:trPr>
        <w:tc>
          <w:tcPr>
            <w:tcW w:type="dxa" w:w="2448"/>
            <w:tcMar>
              <w:top w:w="80" w:type="dxa"/>
              <w:start w:w="90" w:type="dxa"/>
              <w:bottom w:w="80" w:type="dxa"/>
              <w:end w:w="90" w:type="dxa"/>
            </w:tcMar>
            <w:vAlign w:val="top"/>
            <w:shd w:fill="F7FAFA"/>
          </w:tcPr>
          <w:p>
            <w:pPr>
              <w:spacing w:after="40"/>
            </w:pPr>
            <w:r>
              <w:rPr>
                <w:sz w:val="18"/>
              </w:rPr>
              <w:t>6 — Super-admin</w:t>
            </w:r>
          </w:p>
        </w:tc>
        <w:tc>
          <w:tcPr>
            <w:tcW w:type="dxa" w:w="7632"/>
            <w:tcMar>
              <w:top w:w="80" w:type="dxa"/>
              <w:start w:w="90" w:type="dxa"/>
              <w:bottom w:w="80" w:type="dxa"/>
              <w:end w:w="90" w:type="dxa"/>
            </w:tcMar>
            <w:vAlign w:val="top"/>
            <w:shd w:fill="F7FAFA"/>
          </w:tcPr>
          <w:p>
            <w:pPr>
              <w:spacing w:after="40"/>
            </w:pPr>
            <w:r>
              <w:rPr>
                <w:sz w:val="18"/>
              </w:rPr>
              <w:t>Périmètres contractuels, hors couverture, opportunités.</w:t>
            </w:r>
          </w:p>
        </w:tc>
      </w:tr>
      <w:tr>
        <w:trPr>
          <w:cantSplit/>
        </w:trPr>
        <w:tc>
          <w:tcPr>
            <w:tcW w:type="dxa" w:w="2448"/>
            <w:tcMar>
              <w:top w:w="80" w:type="dxa"/>
              <w:start w:w="90" w:type="dxa"/>
              <w:bottom w:w="80" w:type="dxa"/>
              <w:end w:w="90" w:type="dxa"/>
            </w:tcMar>
            <w:vAlign w:val="top"/>
          </w:tcPr>
          <w:p>
            <w:pPr>
              <w:spacing w:after="40"/>
            </w:pPr>
            <w:r>
              <w:rPr>
                <w:sz w:val="18"/>
              </w:rPr>
              <w:t>7 — Analytics &amp; realtime</w:t>
            </w:r>
          </w:p>
        </w:tc>
        <w:tc>
          <w:tcPr>
            <w:tcW w:type="dxa" w:w="7632"/>
            <w:tcMar>
              <w:top w:w="80" w:type="dxa"/>
              <w:start w:w="90" w:type="dxa"/>
              <w:bottom w:w="80" w:type="dxa"/>
              <w:end w:w="90" w:type="dxa"/>
            </w:tcMar>
            <w:vAlign w:val="top"/>
          </w:tcPr>
          <w:p>
            <w:pPr>
              <w:spacing w:after="40"/>
            </w:pPr>
            <w:r>
              <w:rPr>
                <w:sz w:val="18"/>
              </w:rPr>
              <w:t>KPI, temps réel, carte, notifications.</w:t>
            </w:r>
          </w:p>
        </w:tc>
      </w:tr>
      <w:tr>
        <w:trPr>
          <w:cantSplit/>
        </w:trPr>
        <w:tc>
          <w:tcPr>
            <w:tcW w:type="dxa" w:w="2448"/>
            <w:tcMar>
              <w:top w:w="80" w:type="dxa"/>
              <w:start w:w="90" w:type="dxa"/>
              <w:bottom w:w="80" w:type="dxa"/>
              <w:end w:w="90" w:type="dxa"/>
            </w:tcMar>
            <w:vAlign w:val="top"/>
            <w:shd w:fill="F7FAFA"/>
          </w:tcPr>
          <w:p>
            <w:r>
              <w:t>8 — Quality hardening / pre-prod</w:t>
            </w:r>
          </w:p>
        </w:tc>
        <w:tc>
          <w:tcPr>
            <w:tcW w:type="dxa" w:w="7632"/>
            <w:tcMar>
              <w:top w:w="80" w:type="dxa"/>
              <w:start w:w="90" w:type="dxa"/>
              <w:bottom w:w="80" w:type="dxa"/>
              <w:end w:w="90" w:type="dxa"/>
            </w:tcMar>
            <w:vAlign w:val="top"/>
            <w:shd w:fill="F7FAFA"/>
          </w:tcPr>
          <w:p>
            <w:r>
              <w:t>Régression exhaustive, performance, accessibilité manuelle finale, pentest/retest, migration/release rehearsal, backup/restore, sécurité opérationnelle et readiness de première PROD.</w:t>
            </w:r>
          </w:p>
        </w:tc>
      </w:tr>
      <w:tr>
        <w:trPr>
          <w:cantSplit/>
        </w:trPr>
        <w:tc>
          <w:tcPr>
            <w:tcW w:type="dxa" w:w="2448"/>
            <w:tcMar>
              <w:top w:w="80" w:type="dxa"/>
              <w:start w:w="90" w:type="dxa"/>
              <w:bottom w:w="80" w:type="dxa"/>
              <w:end w:w="90" w:type="dxa"/>
            </w:tcMar>
            <w:vAlign w:val="top"/>
          </w:tcPr>
          <w:p>
            <w:pPr>
              <w:spacing w:after="40"/>
            </w:pPr>
            <w:r>
              <w:rPr>
                <w:sz w:val="18"/>
              </w:rPr>
              <w:t>9 — Polish</w:t>
            </w:r>
          </w:p>
        </w:tc>
        <w:tc>
          <w:tcPr>
            <w:tcW w:type="dxa" w:w="7632"/>
            <w:tcMar>
              <w:top w:w="80" w:type="dxa"/>
              <w:start w:w="90" w:type="dxa"/>
              <w:bottom w:w="80" w:type="dxa"/>
              <w:end w:w="90" w:type="dxa"/>
            </w:tcMar>
            <w:vAlign w:val="top"/>
          </w:tcPr>
          <w:p>
            <w:pPr>
              <w:spacing w:after="40"/>
            </w:pPr>
            <w:r>
              <w:rPr>
                <w:sz w:val="18"/>
              </w:rPr>
              <w:t>Micro-interactions, animations, responsive, finition premium.</w:t>
            </w:r>
          </w:p>
        </w:tc>
      </w:tr>
    </w:tbl>
    <w:p/>
    <w:p>
      <w:pPr>
        <w:spacing w:after="100"/>
      </w:pPr>
      <w:r>
        <w:t>Avant chaque phase : auditer le repo, résumer l’état, détailler le plan, annoncer migrations/dépendances/impact architectural et rester strictement dans le scope. Une phase n’est terminée que si ses critères et tests critiques passent.</w:t>
      </w:r>
    </w:p>
    <w:p>
      <w:pPr/>
      <w:r>
        <w:t>Insertion verrouillée entre Phase 2 et Phase 3 : Phase 2 bis — Engineering Quality, Internationalisation &amp; Knowledge Foundations. Cette phase ne développe aucun nouveau workflow métier citoyen ou opérationnel. Elle installe l’engineering operating system d’ActiCiv : architecture E2E, conventions exécutables, TDD, i18n, couverture et preuves qualité, Quality Gates, Security Assurance, observabilité, Knowledge Base/ADR/Rules/Skills, Quality Center minimal, Production Artifact Hygiene et Production Performance Hygiene.</w:t>
      </w:r>
    </w:p>
    <w:p>
      <w:pPr>
        <w:pStyle w:val="ListBullet"/>
      </w:pPr>
      <w:r>
        <w:t>Phase 2 bis / QA : migrer les E2E existants vers une structure Page Object / Component Object, ajouter les garde-fous de lisibilité et conserver toutes les non-régressions Phase 1/2.</w:t>
      </w:r>
    </w:p>
    <w:p>
      <w:pPr>
        <w:pStyle w:val="ListBullet"/>
      </w:pPr>
      <w:r>
        <w:t>Phase 2 bis / i18n : introduire une infrastructure d’internationalisation compatible SSR/App Router, des catalogues de messages, la résolution de locale, un sélecteur explicite et la persistance de préférence.</w:t>
      </w:r>
    </w:p>
    <w:p>
      <w:pPr>
        <w:pStyle w:val="ListBullet"/>
      </w:pPr>
      <w:r>
        <w:t>Phase 2 bis / données : préparer les préférences de locale utilisateur/organisation et les traductions des référentiels métier réellement affichés lorsque nécessaire, sans transformer tous les noms métier en contenu traduit.</w:t>
      </w:r>
    </w:p>
    <w:p>
      <w:pPr>
        <w:pStyle w:val="ListBullet"/>
      </w:pPr>
      <w:r>
        <w:t>Phase 2 bis / preuve : au moins deux locales actives doivent être exercées automatiquement pour empêcher une fausse “préparation i18n” non fonctionnelle.</w:t>
      </w:r>
    </w:p>
    <w:p>
      <w:pPr>
        <w:pStyle w:val="ListBullet"/>
      </w:pPr>
      <w:r>
        <w:t>Phase 2 est officiellement CLOSED sur le SHA `fac0fc8663d1f32b09b720fddffd46f0829c8a6a` (260 PASS / 0 FAIL / 1 DEFERRED : TalkBack). Phase 2 bis démarre depuis cette baseline. Phase 3 ne peut commencer qu’après clôture explicite de la Phase 2 bis.</w:t>
      </w:r>
    </w:p>
    <w:p>
      <w:pPr>
        <w:pStyle w:val="Heading2"/>
        <w:keepNext/>
        <w:spacing w:before="180" w:after="80"/>
      </w:pPr>
      <w:r>
        <w:t>30. Hors périmètre MVP</w:t>
      </w:r>
    </w:p>
    <w:p>
      <w:pPr>
        <w:pStyle w:val="ListBullet"/>
        <w:spacing w:after="40"/>
      </w:pPr>
      <w:r>
        <w:t>Applications iOS/Android natives</w:t>
      </w:r>
    </w:p>
    <w:p>
      <w:pPr>
        <w:pStyle w:val="ListBullet"/>
        <w:spacing w:after="40"/>
      </w:pPr>
      <w:r>
        <w:t>Reconnaissance automatique de plaques</w:t>
      </w:r>
    </w:p>
    <w:p>
      <w:pPr>
        <w:pStyle w:val="ListBullet"/>
        <w:spacing w:after="40"/>
      </w:pPr>
      <w:r>
        <w:t>IA avancée</w:t>
      </w:r>
    </w:p>
    <w:p>
      <w:pPr>
        <w:pStyle w:val="ListBullet"/>
        <w:spacing w:after="40"/>
      </w:pPr>
      <w:r>
        <w:t>Optimisation de tournée multi-interventions</w:t>
      </w:r>
    </w:p>
    <w:p>
      <w:pPr>
        <w:pStyle w:val="ListBullet"/>
        <w:spacing w:after="40"/>
      </w:pPr>
      <w:r>
        <w:t>SMS</w:t>
      </w:r>
    </w:p>
    <w:p>
      <w:pPr>
        <w:pStyle w:val="ListBullet"/>
        <w:spacing w:after="40"/>
      </w:pPr>
      <w:r>
        <w:t>Push mobile natif</w:t>
      </w:r>
    </w:p>
    <w:p>
      <w:pPr>
        <w:pStyle w:val="ListBullet"/>
        <w:spacing w:after="40"/>
      </w:pPr>
      <w:r>
        <w:t>Facturation automatique</w:t>
      </w:r>
    </w:p>
    <w:p>
      <w:pPr>
        <w:pStyle w:val="ListBullet"/>
        <w:spacing w:after="40"/>
      </w:pPr>
      <w:r>
        <w:t>White-label complet</w:t>
      </w:r>
    </w:p>
    <w:p>
      <w:pPr>
        <w:pStyle w:val="ListBullet"/>
        <w:spacing w:after="40"/>
      </w:pPr>
      <w:r>
        <w:t>Comptes externes de tiers</w:t>
      </w:r>
    </w:p>
    <w:p>
      <w:pPr>
        <w:pStyle w:val="ListBullet"/>
        <w:spacing w:after="40"/>
      </w:pPr>
      <w:r>
        <w:t>CRM</w:t>
      </w:r>
    </w:p>
    <w:p>
      <w:pPr>
        <w:pStyle w:val="ListBullet"/>
        <w:spacing w:after="40"/>
      </w:pPr>
      <w:r>
        <w:t>SSO entreprise</w:t>
      </w:r>
    </w:p>
    <w:p>
      <w:pPr>
        <w:pStyle w:val="ListBullet"/>
        <w:spacing w:after="40"/>
      </w:pPr>
      <w:r>
        <w:t>MFA obligatoire</w:t>
      </w:r>
    </w:p>
    <w:p>
      <w:pPr>
        <w:pStyle w:val="ListBullet"/>
        <w:spacing w:after="40"/>
      </w:pPr>
      <w:r>
        <w:t>Dark mode citoyen</w:t>
      </w:r>
    </w:p>
    <w:p>
      <w:pPr>
        <w:pStyle w:val="ListBullet"/>
        <w:spacing w:after="40"/>
      </w:pPr>
      <w:r>
        <w:t>Moteur de réputation citoyenne</w:t>
      </w:r>
    </w:p>
    <w:p>
      <w:pPr>
        <w:pStyle w:val="ListBullet"/>
        <w:spacing w:after="40"/>
      </w:pPr>
      <w:r>
        <w:t>Pièces jointes audio/documents dans notes internes</w:t>
      </w:r>
    </w:p>
    <w:p>
      <w:pPr>
        <w:spacing w:after="100"/>
      </w:pPr>
      <w:r>
        <w:t>Ces éléments peuvent être anticipés dans le modèle lorsque c’est peu coûteux et réversible, mais ne doivent pas être implémentés sans validation.</w:t>
      </w:r>
    </w:p>
    <w:p>
      <w:pPr>
        <w:pStyle w:val="Heading2"/>
        <w:keepNext/>
        <w:spacing w:before="180" w:after="80"/>
      </w:pPr>
      <w:r>
        <w:t>31. Démonstration cible et critères de réussite</w:t>
      </w:r>
    </w:p>
    <w:p>
      <w:pPr>
        <w:spacing w:after="100"/>
      </w:pPr>
      <w:r>
        <w:t>La phase DEV est considérée convaincante lorsque le scénario suivant fonctionne avec une vraie logique applicative :</w:t>
      </w:r>
    </w:p>
    <w:p>
      <w:pPr>
        <w:spacing w:after="40"/>
      </w:pPr>
      <w:r>
        <w:t>1. Un citoyen ouvre ActiCiv sur smartphone.</w:t>
      </w:r>
    </w:p>
    <w:p>
      <w:pPr>
        <w:spacing w:after="40"/>
      </w:pPr>
      <w:r>
        <w:t>2. Il choisit un problème d’accessibilité.</w:t>
      </w:r>
    </w:p>
    <w:p>
      <w:pPr>
        <w:spacing w:after="40"/>
      </w:pPr>
      <w:r>
        <w:t>3. Sa localisation est détectée et peut être corrigée.</w:t>
      </w:r>
    </w:p>
    <w:p>
      <w:pPr>
        <w:spacing w:after="40"/>
      </w:pPr>
      <w:r>
        <w:t>4. Il peut joindre une photo ou continuer sans photo.</w:t>
      </w:r>
    </w:p>
    <w:p>
      <w:pPr>
        <w:spacing w:after="40"/>
      </w:pPr>
      <w:r>
        <w:t>5. Il envoie le signalement.</w:t>
      </w:r>
    </w:p>
    <w:p>
      <w:pPr>
        <w:spacing w:after="40"/>
      </w:pPr>
      <w:r>
        <w:t>6. Le backend détermine le bon territoire, organisation et service.</w:t>
      </w:r>
    </w:p>
    <w:p>
      <w:pPr>
        <w:spacing w:after="40"/>
      </w:pPr>
      <w:r>
        <w:t>7. Le signalement apparaît dans le centre de supervision.</w:t>
      </w:r>
    </w:p>
    <w:p>
      <w:pPr>
        <w:spacing w:after="40"/>
      </w:pPr>
      <w:r>
        <w:t>8. La file intelligente le classe selon priorité, distance et SLA.</w:t>
      </w:r>
    </w:p>
    <w:p>
      <w:pPr>
        <w:spacing w:after="40"/>
      </w:pPr>
      <w:r>
        <w:t>9. Un agent clique « Je prends ».</w:t>
      </w:r>
    </w:p>
    <w:p>
      <w:pPr>
        <w:spacing w:after="40"/>
      </w:pPr>
      <w:r>
        <w:t>10. Le ticket bascule dans Mes interventions.</w:t>
      </w:r>
    </w:p>
    <w:p>
      <w:pPr>
        <w:spacing w:after="40"/>
      </w:pPr>
      <w:r>
        <w:t>11. L’agent démarre puis clôture.</w:t>
      </w:r>
    </w:p>
    <w:p>
      <w:pPr>
        <w:spacing w:after="40"/>
      </w:pPr>
      <w:r>
        <w:t>12. Le citoyen ouvre son lien sécurisé et voit « Résolu ».</w:t>
      </w:r>
    </w:p>
    <w:p>
      <w:pPr>
        <w:spacing w:after="40"/>
      </w:pPr>
      <w:r>
        <w:t>13. Les KPI du dashboard se mettent à jour.</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La démo doit faire comprendre immédiatement : « ActiCiv n’est pas une maquette. Le moteur fonctionne réellement. »</w:t>
            </w:r>
          </w:p>
        </w:tc>
      </w:tr>
    </w:tbl>
    <w:p/>
    <w:p>
      <w:pPr>
        <w:pStyle w:val="Heading1"/>
        <w:keepNext/>
        <w:spacing w:before="180" w:after="80"/>
      </w:pPr>
      <w:r>
        <w:t>Annexes</w:t>
      </w:r>
    </w:p>
    <w:p>
      <w:pPr>
        <w:pStyle w:val="Heading2"/>
        <w:keepNext/>
        <w:spacing w:before="180" w:after="80"/>
      </w:pPr>
      <w:r>
        <w:t>A. Priorités produit</w:t>
      </w:r>
    </w:p>
    <w:p>
      <w:pPr>
        <w:spacing w:after="40"/>
      </w:pPr>
      <w:r>
        <w:t>1. Robustesse technique.</w:t>
      </w:r>
    </w:p>
    <w:p>
      <w:pPr>
        <w:spacing w:after="40"/>
      </w:pPr>
      <w:r>
        <w:t>2. Profondeur fonctionnelle utile.</w:t>
      </w:r>
    </w:p>
    <w:p>
      <w:pPr>
        <w:spacing w:after="40"/>
      </w:pPr>
      <w:r>
        <w:t>3. UX/UI premium.</w:t>
      </w:r>
    </w:p>
    <w:p>
      <w:pPr>
        <w:spacing w:after="40"/>
      </w:pPr>
      <w:r>
        <w:t>4. Vitesse de mise sur le marché.</w:t>
      </w:r>
    </w:p>
    <w:p>
      <w:pPr>
        <w:spacing w:after="100"/>
      </w:pPr>
      <w:r>
        <w:t>Conséquence : ne pas sacrifier sécurité, accessibilité, testabilité ou structure de données pour gagner quelques jours.</w:t>
      </w:r>
    </w:p>
    <w:p>
      <w:pPr>
        <w:pStyle w:val="Heading2"/>
        <w:keepNext/>
        <w:spacing w:before="180" w:after="80"/>
      </w:pPr>
      <w:r>
        <w:t>B. Décisions verrouillées</w:t>
      </w:r>
    </w:p>
    <w:p>
      <w:pPr>
        <w:pStyle w:val="ListBullet"/>
        <w:spacing w:after="40"/>
      </w:pPr>
      <w:r>
        <w:t>MapLibre + source OpenStreetMap compatible pour la cartographie du MVP.</w:t>
      </w:r>
    </w:p>
    <w:p>
      <w:pPr>
        <w:pStyle w:val="ListBullet"/>
        <w:spacing w:after="40"/>
      </w:pPr>
      <w:r>
        <w:t>Stockage latitude/longitude/accuracy/adresse/source de localisation.</w:t>
      </w:r>
    </w:p>
    <w:p>
      <w:pPr>
        <w:pStyle w:val="ListBullet"/>
        <w:spacing w:after="40"/>
      </w:pPr>
      <w:r>
        <w:t>Token opaque séparé pour suivi citoyen.</w:t>
      </w:r>
    </w:p>
    <w:p>
      <w:pPr>
        <w:pStyle w:val="ListBullet"/>
        <w:spacing w:after="40"/>
      </w:pPr>
      <w:r>
        <w:t>Rétention configurable ; durée PROD à définir avec DPO/client.</w:t>
      </w:r>
    </w:p>
    <w:p>
      <w:pPr>
        <w:pStyle w:val="ListBullet"/>
        <w:spacing w:after="40"/>
      </w:pPr>
      <w:r>
        <w:t>Observabilité légère dès DEV.</w:t>
      </w:r>
    </w:p>
    <w:p>
      <w:pPr>
        <w:pStyle w:val="ListBullet"/>
        <w:spacing w:after="40"/>
      </w:pPr>
      <w:r>
        <w:t>Seeds riches et reproductibles.</w:t>
      </w:r>
    </w:p>
    <w:p>
      <w:pPr>
        <w:pStyle w:val="ListBullet"/>
        <w:spacing w:after="40"/>
      </w:pPr>
      <w:r>
        <w:t>Backend source de vérité.</w:t>
      </w:r>
    </w:p>
    <w:p>
      <w:pPr>
        <w:pStyle w:val="ListBullet"/>
        <w:spacing w:after="40"/>
      </w:pPr>
      <w:r>
        <w:t>Bug corrigé = test de non-régression adapté.</w:t>
      </w:r>
    </w:p>
    <w:p>
      <w:pPr>
        <w:pStyle w:val="ListBullet"/>
        <w:spacing w:after="40"/>
      </w:pPr>
      <w:r>
        <w:t>Concurrence et atomicité sur actions sensibles.</w:t>
      </w:r>
    </w:p>
    <w:p>
      <w:pPr>
        <w:pStyle w:val="ListBullet"/>
        <w:spacing w:after="40"/>
      </w:pPr>
      <w:r>
        <w:t>Validation serveur de toutes les données critiques.</w:t>
      </w:r>
    </w:p>
    <w:p>
      <w:pPr>
        <w:pStyle w:val="ListBullet"/>
        <w:spacing w:after="40"/>
      </w:pPr>
      <w:r>
        <w:t>WCAG 2.2 AA dès le début.</w:t>
      </w:r>
    </w:p>
    <w:p>
      <w:pPr>
        <w:pStyle w:val="Heading2"/>
        <w:keepNext/>
        <w:spacing w:before="180" w:after="80"/>
      </w:pPr>
      <w:r>
        <w:t>C. Questions volontairement reportées</w:t>
      </w:r>
    </w:p>
    <w:p>
      <w:pPr>
        <w:pStyle w:val="ListBullet"/>
        <w:spacing w:after="40"/>
      </w:pPr>
      <w:r>
        <w:t>Nom de marque définitif et vérifications juridiques/domaines.</w:t>
      </w:r>
    </w:p>
    <w:p>
      <w:pPr>
        <w:pStyle w:val="ListBullet"/>
        <w:spacing w:after="40"/>
      </w:pPr>
      <w:r>
        <w:t>Durées exactes de rétention PROD par type de donnée.</w:t>
      </w:r>
    </w:p>
    <w:p>
      <w:pPr>
        <w:pStyle w:val="ListBullet"/>
        <w:spacing w:after="40"/>
      </w:pPr>
      <w:r>
        <w:t>Tarification définitive et structure juridique/commerciale.</w:t>
      </w:r>
    </w:p>
    <w:p>
      <w:pPr>
        <w:pStyle w:val="ListBullet"/>
        <w:spacing w:after="40"/>
      </w:pPr>
      <w:r>
        <w:t>Partenaire financier / modalités d’investissement.</w:t>
      </w:r>
    </w:p>
    <w:p>
      <w:pPr>
        <w:pStyle w:val="ListBullet"/>
        <w:spacing w:after="40"/>
      </w:pPr>
      <w:r>
        <w:t>SSO/MFA et intégrations enterprise.</w:t>
      </w:r>
    </w:p>
    <w:p>
      <w:pPr>
        <w:pStyle w:val="ListBullet"/>
        <w:spacing w:after="40"/>
      </w:pPr>
      <w:r>
        <w:t>Verticale n°2 à activer après validation du MVP.</w:t>
      </w:r>
    </w:p>
    <w:p>
      <w:r>
        <w:br w:type="page"/>
      </w:r>
    </w:p>
    <w:p>
      <w:pPr>
        <w:pStyle w:val="Heading2"/>
        <w:keepNext/>
      </w:pPr>
      <w:r>
        <w:t>D. Hypothèses business et trajectoire financière</w:t>
      </w:r>
    </w:p>
    <w:p>
      <w:pPr>
        <w:spacing w:after="100"/>
      </w:pPr>
      <w:r>
        <w:t>Ces chiffres ne constituent pas des prévisions garanties : ce sont des scénarios de travail utilisés pour vérifier qu’un modèle SaaS public raisonnablement tarifé peut devenir viable. Ils devront être recalculés dès que les premiers pilotes fourniront de vrais taux de conversion et coûts de support.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6324F"/>
            <w:tcMar>
              <w:top w:w="70" w:type="dxa"/>
              <w:start w:w="70" w:type="dxa"/>
              <w:bottom w:w="70" w:type="dxa"/>
              <w:end w:w="70" w:type="dxa"/>
            </w:tcMar>
          </w:tcPr>
          <w:p>
            <w:r>
              <w:rPr>
                <w:b/>
                <w:color w:val="FFFFFF"/>
                <w:sz w:val="17"/>
              </w:rPr>
              <w:t>Horizon</w:t>
            </w:r>
          </w:p>
        </w:tc>
        <w:tc>
          <w:tcPr>
            <w:tcW w:type="dxa" w:w="5083"/>
            <w:shd w:fill="16324F"/>
            <w:tcMar>
              <w:top w:w="70" w:type="dxa"/>
              <w:start w:w="70" w:type="dxa"/>
              <w:bottom w:w="70" w:type="dxa"/>
              <w:end w:w="70" w:type="dxa"/>
            </w:tcMar>
          </w:tcPr>
          <w:p>
            <w:r>
              <w:rPr>
                <w:b/>
                <w:color w:val="FFFFFF"/>
                <w:sz w:val="17"/>
              </w:rPr>
              <w:t>Scénario de travail discuté</w:t>
            </w:r>
          </w:p>
        </w:tc>
      </w:tr>
      <w:tr>
        <w:trPr>
          <w:cantSplit/>
        </w:trPr>
        <w:tc>
          <w:tcPr>
            <w:tcW w:type="dxa" w:w="5083"/>
            <w:tcMar>
              <w:top w:w="70" w:type="dxa"/>
              <w:start w:w="70" w:type="dxa"/>
              <w:bottom w:w="70" w:type="dxa"/>
              <w:end w:w="70" w:type="dxa"/>
            </w:tcMar>
          </w:tcPr>
          <w:p>
            <w:pPr>
              <w:spacing w:after="0"/>
            </w:pPr>
            <w:r>
              <w:rPr>
                <w:sz w:val="16"/>
              </w:rPr>
              <w:t>Année 1</w:t>
            </w:r>
          </w:p>
        </w:tc>
        <w:tc>
          <w:tcPr>
            <w:tcW w:type="dxa" w:w="5083"/>
            <w:tcMar>
              <w:top w:w="70" w:type="dxa"/>
              <w:start w:w="70" w:type="dxa"/>
              <w:bottom w:w="70" w:type="dxa"/>
              <w:end w:w="70" w:type="dxa"/>
            </w:tcMar>
          </w:tcPr>
          <w:p>
            <w:pPr>
              <w:spacing w:after="0"/>
            </w:pPr>
            <w:r>
              <w:rPr>
                <w:sz w:val="16"/>
              </w:rPr>
              <w:t>~20 clients ; ~46 k€ de revenu annuel ; ~20–30 k€ de charges ; rémunération fondateur faible ou nulle, priorité au réinvestissement.</w:t>
            </w:r>
          </w:p>
        </w:tc>
      </w:tr>
      <w:tr>
        <w:trPr>
          <w:cantSplit/>
        </w:trPr>
        <w:tc>
          <w:tcPr>
            <w:tcW w:type="dxa" w:w="5083"/>
            <w:tcMar>
              <w:top w:w="70" w:type="dxa"/>
              <w:start w:w="70" w:type="dxa"/>
              <w:bottom w:w="70" w:type="dxa"/>
              <w:end w:w="70" w:type="dxa"/>
            </w:tcMar>
          </w:tcPr>
          <w:p>
            <w:pPr>
              <w:spacing w:after="0"/>
            </w:pPr>
            <w:r>
              <w:rPr>
                <w:sz w:val="16"/>
              </w:rPr>
              <w:t>Année 2</w:t>
            </w:r>
          </w:p>
        </w:tc>
        <w:tc>
          <w:tcPr>
            <w:tcW w:type="dxa" w:w="5083"/>
            <w:tcMar>
              <w:top w:w="70" w:type="dxa"/>
              <w:start w:w="70" w:type="dxa"/>
              <w:bottom w:w="70" w:type="dxa"/>
              <w:end w:w="70" w:type="dxa"/>
            </w:tcMar>
          </w:tcPr>
          <w:p>
            <w:pPr>
              <w:spacing w:after="0"/>
            </w:pPr>
            <w:r>
              <w:rPr>
                <w:sz w:val="16"/>
              </w:rPr>
              <w:t>~62 organisations ; ~175 k€/an ; ~80–110 k€ de charges ; rémunération possible ~1,5–3 k€/mois selon trésorerie.</w:t>
            </w:r>
          </w:p>
        </w:tc>
      </w:tr>
      <w:tr>
        <w:trPr>
          <w:cantSplit/>
        </w:trPr>
        <w:tc>
          <w:tcPr>
            <w:tcW w:type="dxa" w:w="5083"/>
            <w:tcMar>
              <w:top w:w="70" w:type="dxa"/>
              <w:start w:w="70" w:type="dxa"/>
              <w:bottom w:w="70" w:type="dxa"/>
              <w:end w:w="70" w:type="dxa"/>
            </w:tcMar>
          </w:tcPr>
          <w:p>
            <w:pPr>
              <w:spacing w:after="0"/>
            </w:pPr>
            <w:r>
              <w:rPr>
                <w:sz w:val="16"/>
              </w:rPr>
              <w:t>Année 3</w:t>
            </w:r>
          </w:p>
        </w:tc>
        <w:tc>
          <w:tcPr>
            <w:tcW w:type="dxa" w:w="5083"/>
            <w:tcMar>
              <w:top w:w="70" w:type="dxa"/>
              <w:start w:w="70" w:type="dxa"/>
              <w:bottom w:w="70" w:type="dxa"/>
              <w:end w:w="70" w:type="dxa"/>
            </w:tcMar>
          </w:tcPr>
          <w:p>
            <w:pPr>
              <w:spacing w:after="0"/>
            </w:pPr>
            <w:r>
              <w:rPr>
                <w:sz w:val="16"/>
              </w:rPr>
              <w:t>~135 organisations ; ~440 k€/an ; ~220–280 k€ de charges ; rémunération possible ~3,5–5,5 k€/mois.</w:t>
            </w:r>
          </w:p>
        </w:tc>
      </w:tr>
      <w:tr>
        <w:trPr>
          <w:cantSplit/>
        </w:trPr>
        <w:tc>
          <w:tcPr>
            <w:tcW w:type="dxa" w:w="5083"/>
            <w:tcMar>
              <w:top w:w="70" w:type="dxa"/>
              <w:start w:w="70" w:type="dxa"/>
              <w:bottom w:w="70" w:type="dxa"/>
              <w:end w:w="70" w:type="dxa"/>
            </w:tcMar>
          </w:tcPr>
          <w:p>
            <w:pPr>
              <w:spacing w:after="0"/>
            </w:pPr>
            <w:r>
              <w:rPr>
                <w:sz w:val="16"/>
              </w:rPr>
              <w:t>Année 5</w:t>
            </w:r>
          </w:p>
        </w:tc>
        <w:tc>
          <w:tcPr>
            <w:tcW w:type="dxa" w:w="5083"/>
            <w:tcMar>
              <w:top w:w="70" w:type="dxa"/>
              <w:start w:w="70" w:type="dxa"/>
              <w:bottom w:w="70" w:type="dxa"/>
              <w:end w:w="70" w:type="dxa"/>
            </w:tcMar>
          </w:tcPr>
          <w:p>
            <w:pPr>
              <w:spacing w:after="0"/>
            </w:pPr>
            <w:r>
              <w:rPr>
                <w:sz w:val="16"/>
              </w:rPr>
              <w:t>~336 organisations ; ~1,1 M€/an ; ~650–750 k€ de charges ; rémunération possible ~5–8 k€/mois + éventuels dividendes selon structure.</w:t>
            </w:r>
          </w:p>
        </w:tc>
      </w:tr>
    </w:tbl>
    <w:p/>
    <w:p>
      <w:pPr>
        <w:spacing w:after="100"/>
      </w:pPr>
      <w:r>
        <w:t>Hypothèse centrale : le principal risque n’est pas la capacité à coder la plateforme, mais la vente, la confiance des collectivités, les cycles de décision et l’adoption opérationnelle.</w:t>
      </w:r>
    </w:p>
    <w:p>
      <w:pPr>
        <w:pStyle w:val="Heading2"/>
        <w:keepNext/>
      </w:pPr>
      <w:r>
        <w:t>E. Coût d’infrastructure et principe de frugalité</w:t>
      </w:r>
    </w:p>
    <w:p>
      <w:pPr>
        <w:spacing w:after="100"/>
      </w:pPr>
      <w:r>
        <w:t>La phase DEV doit pouvoir être réalisée avec un coût d’infrastructure quasi nul. Les montants ci-dessous sont des ordres de grandeur de travail et doivent être revalidés au moment de l’abonnement, les offres des fournisseurs pouvant évoluer.</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6324F"/>
            <w:tcMar>
              <w:top w:w="70" w:type="dxa"/>
              <w:start w:w="70" w:type="dxa"/>
              <w:bottom w:w="70" w:type="dxa"/>
              <w:end w:w="70" w:type="dxa"/>
            </w:tcMar>
          </w:tcPr>
          <w:p>
            <w:r>
              <w:rPr>
                <w:b/>
                <w:color w:val="FFFFFF"/>
                <w:sz w:val="17"/>
              </w:rPr>
              <w:t>Service</w:t>
            </w:r>
          </w:p>
        </w:tc>
        <w:tc>
          <w:tcPr>
            <w:tcW w:type="dxa" w:w="5083"/>
            <w:shd w:fill="16324F"/>
            <w:tcMar>
              <w:top w:w="70" w:type="dxa"/>
              <w:start w:w="70" w:type="dxa"/>
              <w:bottom w:w="70" w:type="dxa"/>
              <w:end w:w="70" w:type="dxa"/>
            </w:tcMar>
          </w:tcPr>
          <w:p>
            <w:r>
              <w:rPr>
                <w:b/>
                <w:color w:val="FFFFFF"/>
                <w:sz w:val="17"/>
              </w:rPr>
              <w:t>Approche DEV / début</w:t>
            </w:r>
          </w:p>
        </w:tc>
      </w:tr>
      <w:tr>
        <w:trPr>
          <w:cantSplit/>
        </w:trPr>
        <w:tc>
          <w:tcPr>
            <w:tcW w:type="dxa" w:w="5083"/>
            <w:tcMar>
              <w:top w:w="70" w:type="dxa"/>
              <w:start w:w="70" w:type="dxa"/>
              <w:bottom w:w="70" w:type="dxa"/>
              <w:end w:w="70" w:type="dxa"/>
            </w:tcMar>
          </w:tcPr>
          <w:p>
            <w:pPr>
              <w:spacing w:after="0"/>
            </w:pPr>
            <w:r>
              <w:rPr>
                <w:sz w:val="16"/>
              </w:rPr>
              <w:t>GitHub</w:t>
            </w:r>
          </w:p>
        </w:tc>
        <w:tc>
          <w:tcPr>
            <w:tcW w:type="dxa" w:w="5083"/>
            <w:tcMar>
              <w:top w:w="70" w:type="dxa"/>
              <w:start w:w="70" w:type="dxa"/>
              <w:bottom w:w="70" w:type="dxa"/>
              <w:end w:w="70" w:type="dxa"/>
            </w:tcMar>
          </w:tcPr>
          <w:p>
            <w:pPr>
              <w:spacing w:after="0"/>
            </w:pPr>
            <w:r>
              <w:rPr>
                <w:sz w:val="16"/>
              </w:rPr>
              <w:t>Plan gratuit suffisant au démarrage.</w:t>
            </w:r>
          </w:p>
        </w:tc>
      </w:tr>
      <w:tr>
        <w:trPr>
          <w:cantSplit/>
        </w:trPr>
        <w:tc>
          <w:tcPr>
            <w:tcW w:type="dxa" w:w="5083"/>
            <w:tcMar>
              <w:top w:w="70" w:type="dxa"/>
              <w:start w:w="70" w:type="dxa"/>
              <w:bottom w:w="70" w:type="dxa"/>
              <w:end w:w="70" w:type="dxa"/>
            </w:tcMar>
          </w:tcPr>
          <w:p>
            <w:pPr>
              <w:spacing w:after="0"/>
            </w:pPr>
            <w:r>
              <w:rPr>
                <w:sz w:val="16"/>
              </w:rPr>
              <w:t>Supabase</w:t>
            </w:r>
          </w:p>
        </w:tc>
        <w:tc>
          <w:tcPr>
            <w:tcW w:type="dxa" w:w="5083"/>
            <w:tcMar>
              <w:top w:w="70" w:type="dxa"/>
              <w:start w:w="70" w:type="dxa"/>
              <w:bottom w:w="70" w:type="dxa"/>
              <w:end w:w="70" w:type="dxa"/>
            </w:tcMar>
          </w:tcPr>
          <w:p>
            <w:pPr>
              <w:spacing w:after="0"/>
            </w:pPr>
            <w:r>
              <w:rPr>
                <w:sz w:val="16"/>
              </w:rPr>
              <w:t>Free tier pour DEV ; passage Pro envisagé lorsqu’un environnement démo/pilote fiable est nécessaire.</w:t>
            </w:r>
          </w:p>
        </w:tc>
      </w:tr>
      <w:tr>
        <w:trPr>
          <w:cantSplit/>
        </w:trPr>
        <w:tc>
          <w:tcPr>
            <w:tcW w:type="dxa" w:w="5083"/>
            <w:tcMar>
              <w:top w:w="70" w:type="dxa"/>
              <w:start w:w="70" w:type="dxa"/>
              <w:bottom w:w="70" w:type="dxa"/>
              <w:end w:w="70" w:type="dxa"/>
            </w:tcMar>
          </w:tcPr>
          <w:p>
            <w:pPr>
              <w:spacing w:after="0"/>
            </w:pPr>
            <w:r>
              <w:rPr>
                <w:sz w:val="16"/>
              </w:rPr>
              <w:t>Vercel</w:t>
            </w:r>
          </w:p>
        </w:tc>
        <w:tc>
          <w:tcPr>
            <w:tcW w:type="dxa" w:w="5083"/>
            <w:tcMar>
              <w:top w:w="70" w:type="dxa"/>
              <w:start w:w="70" w:type="dxa"/>
              <w:bottom w:w="70" w:type="dxa"/>
              <w:end w:w="70" w:type="dxa"/>
            </w:tcMar>
          </w:tcPr>
          <w:p>
            <w:pPr>
              <w:spacing w:after="0"/>
            </w:pPr>
            <w:r>
              <w:rPr>
                <w:sz w:val="16"/>
              </w:rPr>
              <w:t>Hobby/équivalent pour développement personnel initial ; plan commercial à réévaluer avant usage client.</w:t>
            </w:r>
          </w:p>
        </w:tc>
      </w:tr>
      <w:tr>
        <w:trPr>
          <w:cantSplit/>
        </w:trPr>
        <w:tc>
          <w:tcPr>
            <w:tcW w:type="dxa" w:w="5083"/>
            <w:tcMar>
              <w:top w:w="70" w:type="dxa"/>
              <w:start w:w="70" w:type="dxa"/>
              <w:bottom w:w="70" w:type="dxa"/>
              <w:end w:w="70" w:type="dxa"/>
            </w:tcMar>
          </w:tcPr>
          <w:p>
            <w:pPr>
              <w:spacing w:after="0"/>
            </w:pPr>
            <w:r>
              <w:rPr>
                <w:sz w:val="16"/>
              </w:rPr>
              <w:t>Resend</w:t>
            </w:r>
          </w:p>
        </w:tc>
        <w:tc>
          <w:tcPr>
            <w:tcW w:type="dxa" w:w="5083"/>
            <w:tcMar>
              <w:top w:w="70" w:type="dxa"/>
              <w:start w:w="70" w:type="dxa"/>
              <w:bottom w:w="70" w:type="dxa"/>
              <w:end w:w="70" w:type="dxa"/>
            </w:tcMar>
          </w:tcPr>
          <w:p>
            <w:pPr>
              <w:spacing w:after="0"/>
            </w:pPr>
            <w:r>
              <w:rPr>
                <w:sz w:val="16"/>
              </w:rPr>
              <w:t>Quota gratuit suffisant pour le développement et les premières démos.</w:t>
            </w:r>
          </w:p>
        </w:tc>
      </w:tr>
      <w:tr>
        <w:trPr>
          <w:cantSplit/>
        </w:trPr>
        <w:tc>
          <w:tcPr>
            <w:tcW w:type="dxa" w:w="5083"/>
            <w:tcMar>
              <w:top w:w="70" w:type="dxa"/>
              <w:start w:w="70" w:type="dxa"/>
              <w:bottom w:w="70" w:type="dxa"/>
              <w:end w:w="70" w:type="dxa"/>
            </w:tcMar>
          </w:tcPr>
          <w:p>
            <w:pPr>
              <w:spacing w:after="0"/>
            </w:pPr>
            <w:r>
              <w:rPr>
                <w:sz w:val="16"/>
              </w:rPr>
              <w:t>Cloudflare Turnstile</w:t>
            </w:r>
          </w:p>
        </w:tc>
        <w:tc>
          <w:tcPr>
            <w:tcW w:type="dxa" w:w="5083"/>
            <w:tcMar>
              <w:top w:w="70" w:type="dxa"/>
              <w:start w:w="70" w:type="dxa"/>
              <w:bottom w:w="70" w:type="dxa"/>
              <w:end w:w="70" w:type="dxa"/>
            </w:tcMar>
          </w:tcPr>
          <w:p>
            <w:pPr>
              <w:spacing w:after="0"/>
            </w:pPr>
            <w:r>
              <w:rPr>
                <w:sz w:val="16"/>
              </w:rPr>
              <w:t>Anti-bot gratuit.</w:t>
            </w:r>
          </w:p>
        </w:tc>
      </w:tr>
      <w:tr>
        <w:trPr>
          <w:cantSplit/>
        </w:trPr>
        <w:tc>
          <w:tcPr>
            <w:tcW w:type="dxa" w:w="5083"/>
            <w:tcMar>
              <w:top w:w="70" w:type="dxa"/>
              <w:start w:w="70" w:type="dxa"/>
              <w:bottom w:w="70" w:type="dxa"/>
              <w:end w:w="70" w:type="dxa"/>
            </w:tcMar>
          </w:tcPr>
          <w:p>
            <w:pPr>
              <w:spacing w:after="0"/>
            </w:pPr>
            <w:r>
              <w:rPr>
                <w:sz w:val="16"/>
              </w:rPr>
              <w:t>Playwright / tests unitaires</w:t>
            </w:r>
          </w:p>
        </w:tc>
        <w:tc>
          <w:tcPr>
            <w:tcW w:type="dxa" w:w="5083"/>
            <w:tcMar>
              <w:top w:w="70" w:type="dxa"/>
              <w:start w:w="70" w:type="dxa"/>
              <w:bottom w:w="70" w:type="dxa"/>
              <w:end w:w="70" w:type="dxa"/>
            </w:tcMar>
          </w:tcPr>
          <w:p>
            <w:pPr>
              <w:spacing w:after="0"/>
            </w:pPr>
            <w:r>
              <w:rPr>
                <w:sz w:val="16"/>
              </w:rPr>
              <w:t>Exécution locale et CI selon quotas GitHub.</w:t>
            </w:r>
          </w:p>
        </w:tc>
      </w:tr>
      <w:tr>
        <w:trPr>
          <w:cantSplit/>
        </w:trPr>
        <w:tc>
          <w:tcPr>
            <w:tcW w:type="dxa" w:w="5083"/>
            <w:tcMar>
              <w:top w:w="70" w:type="dxa"/>
              <w:start w:w="70" w:type="dxa"/>
              <w:bottom w:w="70" w:type="dxa"/>
              <w:end w:w="70" w:type="dxa"/>
            </w:tcMar>
          </w:tcPr>
          <w:p>
            <w:pPr>
              <w:spacing w:after="0"/>
            </w:pPr>
            <w:r>
              <w:rPr>
                <w:sz w:val="16"/>
              </w:rPr>
              <w:t>Nom de domaine</w:t>
            </w:r>
          </w:p>
        </w:tc>
        <w:tc>
          <w:tcPr>
            <w:tcW w:type="dxa" w:w="5083"/>
            <w:tcMar>
              <w:top w:w="70" w:type="dxa"/>
              <w:start w:w="70" w:type="dxa"/>
              <w:bottom w:w="70" w:type="dxa"/>
              <w:end w:w="70" w:type="dxa"/>
            </w:tcMar>
          </w:tcPr>
          <w:p>
            <w:pPr>
              <w:spacing w:after="0"/>
            </w:pPr>
            <w:r>
              <w:rPr>
                <w:sz w:val="16"/>
              </w:rPr>
              <w:t>À acheter plus tard ; ordre de grandeur traditionnel ~10–20 €/an selon extension.</w:t>
            </w:r>
          </w:p>
        </w:tc>
      </w:tr>
      <w:tr>
        <w:trPr>
          <w:cantSplit/>
        </w:trPr>
        <w:tc>
          <w:tcPr>
            <w:tcW w:type="dxa" w:w="5083"/>
            <w:tcMar>
              <w:top w:w="70" w:type="dxa"/>
              <w:start w:w="70" w:type="dxa"/>
              <w:bottom w:w="70" w:type="dxa"/>
              <w:end w:w="70" w:type="dxa"/>
            </w:tcMar>
          </w:tcPr>
          <w:p>
            <w:pPr>
              <w:spacing w:after="0"/>
            </w:pPr>
            <w:r>
              <w:rPr>
                <w:sz w:val="16"/>
              </w:rPr>
              <w:t>Démo / pilote</w:t>
            </w:r>
          </w:p>
        </w:tc>
        <w:tc>
          <w:tcPr>
            <w:tcW w:type="dxa" w:w="5083"/>
            <w:tcMar>
              <w:top w:w="70" w:type="dxa"/>
              <w:start w:w="70" w:type="dxa"/>
              <w:bottom w:w="70" w:type="dxa"/>
              <w:end w:w="70" w:type="dxa"/>
            </w:tcMar>
          </w:tcPr>
          <w:p>
            <w:pPr>
              <w:spacing w:after="0"/>
            </w:pPr>
            <w:r>
              <w:rPr>
                <w:sz w:val="16"/>
              </w:rPr>
              <w:t>Hypothèse initiale globale de l’ordre de ~25–50 €/mois avant besoins entreprise plus avancés.</w:t>
            </w:r>
          </w:p>
        </w:tc>
      </w:tr>
    </w:tbl>
    <w:p/>
    <w:p>
      <w:pPr>
        <w:spacing w:after="100"/>
      </w:pPr>
      <w:r>
        <w:t>iCloud personnel n’est pas considéré comme infrastructure applicative du produit.</w:t>
      </w:r>
    </w:p>
    <w:p>
      <w:pPr>
        <w:pStyle w:val="Heading2"/>
        <w:keepNext/>
      </w:pPr>
      <w:r>
        <w:t>F. Pilotes et premiers relais identifiés</w:t>
      </w:r>
    </w:p>
    <w:p>
      <w:pPr>
        <w:spacing w:after="100"/>
      </w:pPr>
      <w:r>
        <w:t>La stratégie préférée est de démontrer ActiCiv sur un périmètre concret, mesurable et volontairement limité. Les cibles évoquées pendant la conception incluent :</w:t>
      </w:r>
    </w:p>
    <w:p>
      <w:pPr>
        <w:pStyle w:val="ListBullet"/>
        <w:spacing w:after="40"/>
      </w:pPr>
      <w:r>
        <w:t>APF France handicap Vaucluse ou Var comme relais accessibilité / validation terrain.</w:t>
      </w:r>
    </w:p>
    <w:p>
      <w:pPr>
        <w:pStyle w:val="ListBullet"/>
        <w:spacing w:after="40"/>
      </w:pPr>
      <w:r>
        <w:t>Police municipale de Cavaillon comme exemple de proximité opérationnelle.</w:t>
      </w:r>
    </w:p>
    <w:p>
      <w:pPr>
        <w:pStyle w:val="ListBullet"/>
        <w:spacing w:after="40"/>
      </w:pPr>
      <w:r>
        <w:t>Avignon : CCAS / accueil handicap / commission accessibilité.</w:t>
      </w:r>
    </w:p>
    <w:p>
      <w:pPr>
        <w:pStyle w:val="ListBullet"/>
        <w:spacing w:after="40"/>
      </w:pPr>
      <w:r>
        <w:t>Hyères : service accessibilité et police municipale ; territoire considéré particulièrement pertinent.</w:t>
      </w:r>
    </w:p>
    <w:p>
      <w:pPr>
        <w:pStyle w:val="ListBullet"/>
        <w:spacing w:after="40"/>
      </w:pPr>
      <w:r>
        <w:t>CCI Vaucluse / CCI Var pour relais entreprises et sites privés.</w:t>
      </w:r>
    </w:p>
    <w:p>
      <w:pPr>
        <w:pStyle w:val="ListBullet"/>
        <w:spacing w:after="40"/>
      </w:pPr>
      <w:r>
        <w:t>Hôpitaux, centres commerciaux ou grands sites privés disposant de sécurité / services techniques internes.</w:t>
      </w:r>
    </w:p>
    <w:p>
      <w:pPr>
        <w:spacing w:after="100"/>
      </w:pPr>
      <w:r>
        <w:t>Format de pilote envisagé : QR code près des places ou zones PMR → signalement rapide → routage → prise en charge par sécurité/agent → résolution → mesure des délais et volumes pendant 30 à 90 jours.</w:t>
      </w:r>
    </w:p>
    <w:p>
      <w:pPr>
        <w:pStyle w:val="Heading2"/>
        <w:keepNext/>
      </w:pPr>
      <w:r>
        <w:t>G. Partenariat MC Pao — hypothèse de travail</w:t>
      </w:r>
    </w:p>
    <w:p>
      <w:pPr>
        <w:spacing w:after="100"/>
      </w:pPr>
      <w:r>
        <w:t>MC Pao a été identifié comme partenaire potentiel pour amorcer le projet. Son réseau est davantage développé dans le secteur hospitalier à l’international, notamment en Italie et en Pologne, ce qui peut devenir intéressant pour une phase 2 même si le premier pilote reste conseillé en France.</w:t>
      </w:r>
    </w:p>
    <w:p>
      <w:pPr>
        <w:pStyle w:val="ListBullet"/>
        <w:spacing w:after="40"/>
      </w:pPr>
      <w:r>
        <w:t>Approche narrative : histoire personnelle / problème concret d’accessibilité → solution ActiCiv → démonstration fonctionnelle → proposition de partenariat.</w:t>
      </w:r>
    </w:p>
    <w:p>
      <w:pPr>
        <w:pStyle w:val="ListBullet"/>
        <w:spacing w:after="40"/>
      </w:pPr>
      <w:r>
        <w:t>Objectif : arriver avec un MVP démontrable, pas seulement un concept sur papier.</w:t>
      </w:r>
    </w:p>
    <w:p>
      <w:pPr>
        <w:pStyle w:val="ListBullet"/>
        <w:spacing w:after="40"/>
      </w:pPr>
      <w:r>
        <w:t>Fourchette de financement de travail évoquée : 10–30 k€, cible indicative ~25 k€, plancher utile ~10 k€ selon apport réseau et conditions.</w:t>
      </w:r>
    </w:p>
    <w:p>
      <w:pPr>
        <w:pStyle w:val="ListBullet"/>
        <w:spacing w:after="40"/>
      </w:pPr>
      <w:r>
        <w:t>Éviter de céder trop de capital trop tôt ; toute opération equity doit être évaluée avec conseil professionnel.</w:t>
      </w:r>
    </w:p>
    <w:p>
      <w:pPr>
        <w:pStyle w:val="Heading2"/>
        <w:keepNext/>
      </w:pPr>
      <w:r>
        <w:t>H. Benchmark économique — notes de travail à revalider</w:t>
      </w:r>
    </w:p>
    <w:p>
      <w:pPr>
        <w:spacing w:after="100"/>
      </w:pPr>
      <w:r>
        <w:t>Les repères ci-dessous ont servi à cadrer notre positionnement. Ils ne doivent pas être utilisés comme données commerciales officielles sans nouvelle vérification.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6324F"/>
            <w:tcMar>
              <w:top w:w="70" w:type="dxa"/>
              <w:start w:w="70" w:type="dxa"/>
              <w:bottom w:w="70" w:type="dxa"/>
              <w:end w:w="70" w:type="dxa"/>
            </w:tcMar>
          </w:tcPr>
          <w:p>
            <w:r>
              <w:rPr>
                <w:b/>
                <w:color w:val="FFFFFF"/>
                <w:sz w:val="17"/>
              </w:rPr>
              <w:t>Référence</w:t>
            </w:r>
          </w:p>
        </w:tc>
        <w:tc>
          <w:tcPr>
            <w:tcW w:type="dxa" w:w="5083"/>
            <w:shd w:fill="16324F"/>
            <w:tcMar>
              <w:top w:w="70" w:type="dxa"/>
              <w:start w:w="70" w:type="dxa"/>
              <w:bottom w:w="70" w:type="dxa"/>
              <w:end w:w="70" w:type="dxa"/>
            </w:tcMar>
          </w:tcPr>
          <w:p>
            <w:r>
              <w:rPr>
                <w:b/>
                <w:color w:val="FFFFFF"/>
                <w:sz w:val="17"/>
              </w:rPr>
              <w:t>Repère discuté</w:t>
            </w:r>
          </w:p>
        </w:tc>
      </w:tr>
      <w:tr>
        <w:trPr>
          <w:cantSplit/>
        </w:trPr>
        <w:tc>
          <w:tcPr>
            <w:tcW w:type="dxa" w:w="5083"/>
            <w:tcMar>
              <w:top w:w="70" w:type="dxa"/>
              <w:start w:w="70" w:type="dxa"/>
              <w:bottom w:w="70" w:type="dxa"/>
              <w:end w:w="70" w:type="dxa"/>
            </w:tcMar>
          </w:tcPr>
          <w:p>
            <w:pPr>
              <w:spacing w:after="0"/>
            </w:pPr>
            <w:r>
              <w:rPr>
                <w:sz w:val="16"/>
              </w:rPr>
              <w:t>Neocity</w:t>
            </w:r>
          </w:p>
        </w:tc>
        <w:tc>
          <w:tcPr>
            <w:tcW w:type="dxa" w:w="5083"/>
            <w:tcMar>
              <w:top w:w="70" w:type="dxa"/>
              <w:start w:w="70" w:type="dxa"/>
              <w:bottom w:w="70" w:type="dxa"/>
              <w:end w:w="70" w:type="dxa"/>
            </w:tcMar>
          </w:tcPr>
          <w:p>
            <w:pPr>
              <w:spacing w:after="0"/>
            </w:pPr>
            <w:r>
              <w:rPr>
                <w:sz w:val="16"/>
              </w:rPr>
              <w:t>Contrats publics observés de l’ordre de quelques milliers à plusieurs dizaines de milliers d’euros par an selon ville/périmètre.</w:t>
            </w:r>
          </w:p>
        </w:tc>
      </w:tr>
      <w:tr>
        <w:trPr>
          <w:cantSplit/>
        </w:trPr>
        <w:tc>
          <w:tcPr>
            <w:tcW w:type="dxa" w:w="5083"/>
            <w:tcMar>
              <w:top w:w="70" w:type="dxa"/>
              <w:start w:w="70" w:type="dxa"/>
              <w:bottom w:w="70" w:type="dxa"/>
              <w:end w:w="70" w:type="dxa"/>
            </w:tcMar>
          </w:tcPr>
          <w:p>
            <w:pPr>
              <w:spacing w:after="0"/>
            </w:pPr>
            <w:r>
              <w:rPr>
                <w:sz w:val="16"/>
              </w:rPr>
              <w:t>IntraMuros</w:t>
            </w:r>
          </w:p>
        </w:tc>
        <w:tc>
          <w:tcPr>
            <w:tcW w:type="dxa" w:w="5083"/>
            <w:tcMar>
              <w:top w:w="70" w:type="dxa"/>
              <w:start w:w="70" w:type="dxa"/>
              <w:bottom w:w="70" w:type="dxa"/>
              <w:end w:w="70" w:type="dxa"/>
            </w:tcMar>
          </w:tcPr>
          <w:p>
            <w:pPr>
              <w:spacing w:after="0"/>
            </w:pPr>
            <w:r>
              <w:rPr>
                <w:sz w:val="16"/>
              </w:rPr>
              <w:t>Tarification publique très accessible, allant de quelques dizaines/centaines d’euros par an pour petites communes à une logique par habitant pour territoires plus grands.</w:t>
            </w:r>
          </w:p>
        </w:tc>
      </w:tr>
      <w:tr>
        <w:trPr>
          <w:cantSplit/>
        </w:trPr>
        <w:tc>
          <w:tcPr>
            <w:tcW w:type="dxa" w:w="5083"/>
            <w:tcMar>
              <w:top w:w="70" w:type="dxa"/>
              <w:start w:w="70" w:type="dxa"/>
              <w:bottom w:w="70" w:type="dxa"/>
              <w:end w:w="70" w:type="dxa"/>
            </w:tcMar>
          </w:tcPr>
          <w:p>
            <w:pPr>
              <w:spacing w:after="0"/>
            </w:pPr>
            <w:r>
              <w:rPr>
                <w:sz w:val="16"/>
              </w:rPr>
              <w:t>illiwap</w:t>
            </w:r>
          </w:p>
        </w:tc>
        <w:tc>
          <w:tcPr>
            <w:tcW w:type="dxa" w:w="5083"/>
            <w:tcMar>
              <w:top w:w="70" w:type="dxa"/>
              <w:start w:w="70" w:type="dxa"/>
              <w:bottom w:w="70" w:type="dxa"/>
              <w:end w:w="70" w:type="dxa"/>
            </w:tcMar>
          </w:tcPr>
          <w:p>
            <w:pPr>
              <w:spacing w:after="0"/>
            </w:pPr>
            <w:r>
              <w:rPr>
                <w:sz w:val="16"/>
              </w:rPr>
              <w:t>Ordres de grandeur publics allant d’environ 125 €/an pour petites communes jusqu’à plusieurs milliers d’euros pour grandes collectivités.</w:t>
            </w:r>
          </w:p>
        </w:tc>
      </w:tr>
      <w:tr>
        <w:trPr>
          <w:cantSplit/>
        </w:trPr>
        <w:tc>
          <w:tcPr>
            <w:tcW w:type="dxa" w:w="5083"/>
            <w:tcMar>
              <w:top w:w="70" w:type="dxa"/>
              <w:start w:w="70" w:type="dxa"/>
              <w:bottom w:w="70" w:type="dxa"/>
              <w:end w:w="70" w:type="dxa"/>
            </w:tcMar>
          </w:tcPr>
          <w:p>
            <w:pPr>
              <w:spacing w:after="0"/>
            </w:pPr>
            <w:r>
              <w:rPr>
                <w:sz w:val="16"/>
              </w:rPr>
              <w:t>Citykomi</w:t>
            </w:r>
          </w:p>
        </w:tc>
        <w:tc>
          <w:tcPr>
            <w:tcW w:type="dxa" w:w="5083"/>
            <w:tcMar>
              <w:top w:w="70" w:type="dxa"/>
              <w:start w:w="70" w:type="dxa"/>
              <w:bottom w:w="70" w:type="dxa"/>
              <w:end w:w="70" w:type="dxa"/>
            </w:tcMar>
          </w:tcPr>
          <w:p>
            <w:pPr>
              <w:spacing w:after="0"/>
            </w:pPr>
            <w:r>
              <w:rPr>
                <w:sz w:val="16"/>
              </w:rPr>
              <w:t>Ordre de grandeur ~595–995 €/an sur petites collectivités, avec module signalement additionnel dans le benchmark réalisé.</w:t>
            </w:r>
          </w:p>
        </w:tc>
      </w:tr>
      <w:tr>
        <w:trPr>
          <w:cantSplit/>
        </w:trPr>
        <w:tc>
          <w:tcPr>
            <w:tcW w:type="dxa" w:w="5083"/>
            <w:tcMar>
              <w:top w:w="70" w:type="dxa"/>
              <w:start w:w="70" w:type="dxa"/>
              <w:bottom w:w="70" w:type="dxa"/>
              <w:end w:w="70" w:type="dxa"/>
            </w:tcMar>
          </w:tcPr>
          <w:p>
            <w:pPr>
              <w:spacing w:after="0"/>
            </w:pPr>
            <w:r>
              <w:rPr>
                <w:sz w:val="16"/>
              </w:rPr>
              <w:t>Conclusion</w:t>
            </w:r>
          </w:p>
        </w:tc>
        <w:tc>
          <w:tcPr>
            <w:tcW w:type="dxa" w:w="5083"/>
            <w:tcMar>
              <w:top w:w="70" w:type="dxa"/>
              <w:start w:w="70" w:type="dxa"/>
              <w:bottom w:w="70" w:type="dxa"/>
              <w:end w:w="70" w:type="dxa"/>
            </w:tcMar>
          </w:tcPr>
          <w:p>
            <w:pPr>
              <w:spacing w:after="0"/>
            </w:pPr>
            <w:r>
              <w:rPr>
                <w:sz w:val="16"/>
              </w:rPr>
              <w:t>ActiCiv peut rester “éthique” sur le prix public tout en étant viable, à condition de ne pas se vendre uniquement comme une app de signalement générique.</w:t>
            </w:r>
          </w:p>
        </w:tc>
      </w:tr>
    </w:tbl>
    <w:p/>
    <w:p>
      <w:r>
        <w:br w:type="page"/>
      </w:r>
    </w:p>
    <w:p>
      <w:pPr>
        <w:pStyle w:val="Heading1"/>
        <w:keepNext/>
      </w:pPr>
      <w:r>
        <w:t>Partie G — Consolidation finale des décisions transverses</w:t>
      </w:r>
    </w:p>
    <w:p>
      <w:r>
        <w:t>Cette partie ferme les derniers écarts identifiés lors de la revue exhaustive. Elle a la même valeur normative que le reste du livre. En cas de contradiction avec une formulation plus ancienne, la règle la plus précise et la plus récente de cette partie prévaut.</w:t>
      </w:r>
    </w:p>
    <w:p>
      <w:pPr>
        <w:pStyle w:val="Heading2"/>
        <w:keepNext/>
      </w:pPr>
      <w:r>
        <w:t>32. Frontières légales et fonctionnelles du produit</w:t>
      </w:r>
    </w:p>
    <w:p>
      <w:r>
        <w:t>ActiCiv facilite le signalement et le traitement opérationnel. Il ne transforme pas une photo citoyenne en sanction automatique et ne doit jamais présenter un signalement comme une verbalisation certaine.</w:t>
      </w:r>
    </w:p>
    <w:p>
      <w:pPr>
        <w:pStyle w:val="ListBullet"/>
      </w:pPr>
      <w:r>
        <w:t>Une photo, une plaque ou un témoignage citoyen peuvent constituer des éléments de signalement, mais une éventuelle sanction relève d’un acteur habilité et du cadre juridique applicable.</w:t>
      </w:r>
    </w:p>
    <w:p>
      <w:pPr>
        <w:pStyle w:val="ListBullet"/>
      </w:pPr>
      <w:r>
        <w:t>ActiCiv ne doit pas promettre qu’un véhicule sera verbalisé, enlevé ou sanctionné du seul fait du signalement.</w:t>
      </w:r>
    </w:p>
    <w:p>
      <w:pPr>
        <w:pStyle w:val="ListBullet"/>
      </w:pPr>
      <w:r>
        <w:t>Le produit doit privilégier une formulation neutre : “signalement transmis / pris en charge / résolu”, jamais “amende générée”.</w:t>
      </w:r>
    </w:p>
    <w:p>
      <w:pPr>
        <w:pStyle w:val="ListBullet"/>
      </w:pPr>
      <w:r>
        <w:t>Les règles juridiques, durées de conservation et bases légales devront être validées avant une mise en production réelle avec les acteurs concernés et, si nécessaire, un DPO/conseil juridique.</w:t>
      </w:r>
    </w:p>
    <w:p>
      <w:pPr>
        <w:pStyle w:val="Heading2"/>
        <w:keepNext/>
      </w:pPr>
      <w:r>
        <w:t>33. Expérience citoyenne — détails verrouillés</w:t>
      </w:r>
    </w:p>
    <w:p>
      <w:pPr>
        <w:pStyle w:val="ListBullet"/>
      </w:pPr>
      <w:r>
        <w:t>Le parcours doit être utilisable d’une seule main autant que possible sur smartphone, avec une action principale claire par écran.</w:t>
      </w:r>
    </w:p>
    <w:p>
      <w:pPr>
        <w:pStyle w:val="ListBullet"/>
      </w:pPr>
      <w:r>
        <w:t>Les confirmations importantes doivent être visuelles et, lorsque le terminal le permet et que cela reste accessible, peuvent utiliser un retour haptique discret.</w:t>
      </w:r>
    </w:p>
    <w:p>
      <w:pPr>
        <w:pStyle w:val="ListBullet"/>
      </w:pPr>
      <w:r>
        <w:t>Les contrôles doivent associer icône + texte pour les actions importantes ; éviter les boutons uniquement iconographiques quand le sens n’est pas évident.</w:t>
      </w:r>
    </w:p>
    <w:p>
      <w:pPr>
        <w:pStyle w:val="ListBullet"/>
      </w:pPr>
      <w:r>
        <w:t>Les libellés de formulaires restent visibles ; ne pas utiliser le placeholder comme unique label.</w:t>
      </w:r>
    </w:p>
    <w:p>
      <w:pPr>
        <w:pStyle w:val="ListBullet"/>
      </w:pPr>
      <w:r>
        <w:t>Les erreurs doivent être expliquées en langage simple, placées au bon endroit et associées programmatiquement au champ concerné.</w:t>
      </w:r>
    </w:p>
    <w:p>
      <w:pPr>
        <w:pStyle w:val="ListBullet"/>
      </w:pPr>
      <w:r>
        <w:t>La progression doit ressembler à un flux continu de 20–30 secondes dans le cas nominal, pas à un formulaire administratif multipage.</w:t>
      </w:r>
    </w:p>
    <w:p>
      <w:pPr>
        <w:pStyle w:val="ListBullet"/>
      </w:pPr>
      <w:r>
        <w:t>En cas de zone non couverte, l’information doit apparaître dès que possible après la localisation, avant que l’utilisateur perde du temps à compléter tout le signalement.</w:t>
      </w:r>
    </w:p>
    <w:p>
      <w:pPr>
        <w:pStyle w:val="ListBullet"/>
      </w:pPr>
      <w:r>
        <w:t>Des signalements effectués depuis des zones géographiquement différentes ne doivent pas être automatiquement considérés comme un abus uniquement parce qu’ils proviennent du même appareil/IP ; la règle anti-abus combine fréquence et proximité géographique.</w:t>
      </w:r>
    </w:p>
    <w:p>
      <w:pPr>
        <w:pStyle w:val="Heading2"/>
        <w:keepNext/>
      </w:pPr>
      <w:r>
        <w:t>34. Expérience agent et supervision — détails verrouillés</w:t>
      </w:r>
    </w:p>
    <w:p>
      <w:pPr>
        <w:pStyle w:val="ListBullet"/>
      </w:pPr>
      <w:r>
        <w:t>Le partage de position de l’agent est volontaire, explicite et limité au contexte de travail/tournée. Il ne doit jamais être activé silencieusement.</w:t>
      </w:r>
    </w:p>
    <w:p>
      <w:pPr>
        <w:pStyle w:val="ListBullet"/>
      </w:pPr>
      <w:r>
        <w:t>Quand la position agent est active, elle sert à calculer la distance et à réordonner la file à priorité égale ; lorsqu’elle est inactive, aucun tri par distance n’est utilisé.</w:t>
      </w:r>
    </w:p>
    <w:p>
      <w:pPr>
        <w:pStyle w:val="ListBullet"/>
      </w:pPr>
      <w:r>
        <w:t>La vue agent doit rester volontairement légère : catégorie, adresse, distance, photo éventuelle, description, plaque éventuelle, priorité, SLA et historique opérationnel minimal.</w:t>
      </w:r>
    </w:p>
    <w:p>
      <w:pPr>
        <w:pStyle w:val="ListBullet"/>
      </w:pPr>
      <w:r>
        <w:t>La liste opérationnelle est la vue principale du superviseur. La carte est synchronisée et utile, mais ne remplace pas la file de travail.</w:t>
      </w:r>
    </w:p>
    <w:p>
      <w:pPr>
        <w:pStyle w:val="ListBullet"/>
      </w:pPr>
      <w:r>
        <w:t>La section “À surveiller” doit pouvoir faire remonter automatiquement au minimum : urgent non pris, SLA proche du dépassement, signalement ancien et suivi tiers en retard.</w:t>
      </w:r>
    </w:p>
    <w:p>
      <w:pPr>
        <w:pStyle w:val="ListBullet"/>
      </w:pPr>
      <w:r>
        <w:t>Dans le MVP, un signalement conserve un propriétaire principal. On n’introduit pas de multi-ownership simultané complexe.</w:t>
      </w:r>
    </w:p>
    <w:p>
      <w:pPr>
        <w:pStyle w:val="ListBullet"/>
      </w:pPr>
      <w:r>
        <w:t>Aucune photo “après intervention” n’est exigée dans le MVP.</w:t>
      </w:r>
    </w:p>
    <w:p>
      <w:pPr>
        <w:pStyle w:val="ListBullet"/>
      </w:pPr>
      <w:r>
        <w:t>Les notes internes sont textuelles dans le MVP ; pas de pièces jointes documentaires ni d’audio dans ce fil interne.</w:t>
      </w:r>
    </w:p>
    <w:p>
      <w:pPr>
        <w:pStyle w:val="Heading2"/>
        <w:keepNext/>
      </w:pPr>
      <w:r>
        <w:t>35. Clôture, attente et tiers — sémantique complète</w:t>
      </w:r>
    </w:p>
    <w:p>
      <w:r>
        <w:t>Les motifs structurés sont indispensables aux analyses et ne doivent pas être remplacés uniquement par du texte libre.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Pr>
          <w:p>
            <w:r>
              <w:rPr>
                <w:b/>
              </w:rPr>
              <w:t>Objet</w:t>
            </w:r>
          </w:p>
        </w:tc>
        <w:tc>
          <w:tcPr>
            <w:tcW w:type="dxa" w:w="5083"/>
          </w:tcPr>
          <w:p>
            <w:r>
              <w:rPr>
                <w:b/>
              </w:rPr>
              <w:t>Valeurs / règle</w:t>
            </w:r>
          </w:p>
        </w:tc>
      </w:tr>
      <w:tr>
        <w:tc>
          <w:tcPr>
            <w:tcW w:type="dxa" w:w="5083"/>
          </w:tcPr>
          <w:p>
            <w:r>
              <w:t>Clôture</w:t>
            </w:r>
          </w:p>
        </w:tc>
        <w:tc>
          <w:tcPr>
            <w:tcW w:type="dxa" w:w="5083"/>
          </w:tcPr>
          <w:p>
            <w:r>
              <w:t>Résolu ; problème déjà disparu ; non confirmé ; intervention impossible ; transféré ; autre.</w:t>
            </w:r>
          </w:p>
        </w:tc>
      </w:tr>
      <w:tr>
        <w:tc>
          <w:tcPr>
            <w:tcW w:type="dxa" w:w="5083"/>
          </w:tcPr>
          <w:p>
            <w:r>
              <w:t>Attente</w:t>
            </w:r>
          </w:p>
        </w:tc>
        <w:tc>
          <w:tcPr>
            <w:tcW w:type="dxa" w:w="5083"/>
          </w:tcPr>
          <w:p>
            <w:r>
              <w:t>Service technique ; prestataire ; accès impossible ; ressource indisponible ; intervention tiers ; autre.</w:t>
            </w:r>
          </w:p>
        </w:tc>
      </w:tr>
      <w:tr>
        <w:tc>
          <w:tcPr>
            <w:tcW w:type="dxa" w:w="5083"/>
          </w:tcPr>
          <w:p>
            <w:r>
              <w:t>Tiers</w:t>
            </w:r>
          </w:p>
        </w:tc>
        <w:tc>
          <w:tcPr>
            <w:tcW w:type="dxa" w:w="5083"/>
          </w:tcPr>
          <w:p>
            <w:r>
              <w:t>Le rapport reste sous responsabilité de l’organisation d’origine. Le superviseur peut enregistrer le tiers contacté et une date/heure de suivi ou relance.</w:t>
            </w:r>
          </w:p>
        </w:tc>
      </w:tr>
      <w:tr>
        <w:tc>
          <w:tcPr>
            <w:tcW w:type="dxa" w:w="5083"/>
          </w:tcPr>
          <w:p>
            <w:r>
              <w:t>Citoyen</w:t>
            </w:r>
          </w:p>
        </w:tc>
        <w:tc>
          <w:tcPr>
            <w:tcW w:type="dxa" w:w="5083"/>
          </w:tcPr>
          <w:p>
            <w:r>
              <w:t>Quelle que soit la granularité interne, le statut public reste En cours / Résolu / Non résolu / Zone non couverte.</w:t>
            </w:r>
          </w:p>
        </w:tc>
      </w:tr>
    </w:tbl>
    <w:p>
      <w:pPr>
        <w:pStyle w:val="Heading2"/>
        <w:keepNext/>
      </w:pPr>
      <w:r>
        <w:t>36. Cartographie et géocodage — abstraction technique</w:t>
      </w:r>
    </w:p>
    <w:p>
      <w:pPr>
        <w:pStyle w:val="ListBullet"/>
      </w:pPr>
      <w:r>
        <w:t>MapLibre + données/sources compatibles OpenStreetMap constituent le choix initial.</w:t>
      </w:r>
    </w:p>
    <w:p>
      <w:pPr>
        <w:pStyle w:val="ListBullet"/>
      </w:pPr>
      <w:r>
        <w:t>La couche cartographique et de géocodage doit être abstraite derrière une interface/service afin de pouvoir changer de fournisseur sans réécrire les parcours métier.</w:t>
      </w:r>
    </w:p>
    <w:p>
      <w:pPr>
        <w:pStyle w:val="ListBullet"/>
      </w:pPr>
      <w:r>
        <w:t>Aucune clé ou hypothèse spécifique à un fournisseur ne doit être dispersée dans les composants UI.</w:t>
      </w:r>
    </w:p>
    <w:p>
      <w:pPr>
        <w:pStyle w:val="ListBullet"/>
      </w:pPr>
      <w:r>
        <w:t>Les coordonnées stockées incluent latitude, longitude et précision (accuracy), plus l’adresse résolue et la source de localisation lorsque disponible.</w:t>
      </w:r>
    </w:p>
    <w:p>
      <w:pPr>
        <w:pStyle w:val="Heading2"/>
        <w:keepNext/>
      </w:pPr>
      <w:r>
        <w:t>37. Branding et thème — compléments</w:t>
      </w:r>
    </w:p>
    <w:p>
      <w:pPr>
        <w:pStyle w:val="ListBullet"/>
      </w:pPr>
      <w:r>
        <w:t>La configuration centrale doit inclure au minimum : brand.name, brand.shortName, brand.tagline, brand.logo, brand.favicon, brand.supportEmail et les hypothèses de domaine.</w:t>
      </w:r>
    </w:p>
    <w:p>
      <w:pPr>
        <w:pStyle w:val="ListBullet"/>
      </w:pPr>
      <w:r>
        <w:t>Le citoyen conserve ActiCiv comme identité principale ; le territoire/client peut être affiché de manière subtile après géolocalisation.</w:t>
      </w:r>
    </w:p>
    <w:p>
      <w:pPr>
        <w:pStyle w:val="ListBullet"/>
      </w:pPr>
      <w:r>
        <w:t>Le dashboard professionnel peut porter un co-branding client plus marqué, tout en conservant la présence ActiCiv (“Powered by ActiCiv” ou équivalent).</w:t>
      </w:r>
    </w:p>
    <w:p>
      <w:pPr>
        <w:pStyle w:val="ListBullet"/>
      </w:pPr>
      <w:r>
        <w:t>Le design system doit être “dark-mode ready” via ses tokens, mais aucun dark mode citoyen n’est requis dans le MVP. Un dark mode professionnel pourra être envisagé plus tard.</w:t>
      </w:r>
    </w:p>
    <w:p>
      <w:pPr>
        <w:pStyle w:val="Heading2"/>
        <w:keepNext/>
      </w:pPr>
      <w:r>
        <w:t>38. Authentification et identité — préparation future</w:t>
      </w:r>
    </w:p>
    <w:p>
      <w:pPr>
        <w:pStyle w:val="ListBullet"/>
      </w:pPr>
      <w:r>
        <w:t>Authentification pro initiale : email/mot de passe, invitation uniquement, récupération de mot de passe et sessions sécurisées.</w:t>
      </w:r>
    </w:p>
    <w:p>
      <w:pPr>
        <w:pStyle w:val="ListBullet"/>
      </w:pPr>
      <w:r>
        <w:t>L’architecture doit rester compatible avec MFA futur et SSO entreprise, notamment Microsoft Entra ID et protocoles standards OIDC/SAML, sans les implémenter dans le MVP.</w:t>
      </w:r>
    </w:p>
    <w:p>
      <w:pPr>
        <w:pStyle w:val="ListBullet"/>
      </w:pPr>
      <w:r>
        <w:t>Aucun signup professionnel public ouvert dans le MVP.</w:t>
      </w:r>
    </w:p>
    <w:p>
      <w:pPr>
        <w:pStyle w:val="Heading2"/>
        <w:keepNext/>
      </w:pPr>
      <w:r>
        <w:t>39. Contrats et statut organisationnel</w:t>
      </w:r>
    </w:p>
    <w:p>
      <w:pPr>
        <w:pStyle w:val="ListBullet"/>
      </w:pPr>
      <w:r>
        <w:t>Le modèle doit prévoir plan, statut de contrat, périmètre contractuel et éléments inclus (territoires/sites/services).</w:t>
      </w:r>
    </w:p>
    <w:p>
      <w:pPr>
        <w:pStyle w:val="ListBullet"/>
      </w:pPr>
      <w:r>
        <w:t>La facturation automatique n’est pas implémentée dans le MVP, mais ces données évitent une migration conceptuelle lourde lorsque de vrais clients arrivent.</w:t>
      </w:r>
    </w:p>
    <w:p>
      <w:pPr>
        <w:pStyle w:val="ListBullet"/>
      </w:pPr>
      <w:r>
        <w:t>Une extension de territoire doit être considérée comme une évolution contractuelle, pas comme un simple réglage admin client.</w:t>
      </w:r>
    </w:p>
    <w:p>
      <w:pPr>
        <w:pStyle w:val="Heading2"/>
        <w:keepNext/>
      </w:pPr>
      <w:r>
        <w:t>40. Garde-fous de données et persistance — précisions</w:t>
      </w:r>
    </w:p>
    <w:p>
      <w:pPr>
        <w:pStyle w:val="ListBullet"/>
      </w:pPr>
      <w:r>
        <w:t>Utiliser des transactions pour toute action métier qui doit modifier plusieurs entités de façon cohérente.</w:t>
      </w:r>
    </w:p>
    <w:p>
      <w:pPr>
        <w:pStyle w:val="ListBullet"/>
      </w:pPr>
      <w:r>
        <w:t>Préférer les contraintes SQL lorsqu’elles peuvent garantir une invariance simple : FK, unique, check, intégrité référentielle.</w:t>
      </w:r>
    </w:p>
    <w:p>
      <w:pPr>
        <w:pStyle w:val="ListBullet"/>
      </w:pPr>
      <w:r>
        <w:t>Le soft delete n’est pas un réflexe par défaut. L’utiliser seulement lorsqu’une justification métier/audit/réglementaire existe ; sinon préférer une suppression explicite conforme à la politique de rétention.</w:t>
      </w:r>
    </w:p>
    <w:p>
      <w:pPr>
        <w:pStyle w:val="ListBullet"/>
      </w:pPr>
      <w:r>
        <w:t>Stocker les timestamps en UTC ; appliquer le fuseau de l’organisation pour affichage, horaires de service et calculs de SLA.</w:t>
      </w:r>
    </w:p>
    <w:p>
      <w:pPr>
        <w:pStyle w:val="ListBullet"/>
      </w:pPr>
      <w:r>
        <w:t>Les SLA hors horaires doivent distinguer clairement un signalement reçu hors fenêtre de service et ne pas consommer du temps contractuel lorsque la configuration prévoit une suspension.</w:t>
      </w:r>
    </w:p>
    <w:p>
      <w:pPr>
        <w:pStyle w:val="ListBullet"/>
      </w:pPr>
      <w:r>
        <w:t>Les champs de rétention doivent permettre au minimum : type de donnée, created_at, closed_at/résolution, politique applicable, date planifiée de suppression, organisation propriétaire.</w:t>
      </w:r>
    </w:p>
    <w:p>
      <w:pPr>
        <w:pStyle w:val="Heading2"/>
        <w:keepNext/>
      </w:pPr>
      <w:r>
        <w:t>41. Services externes, résilience et idempotence</w:t>
      </w:r>
    </w:p>
    <w:p>
      <w:pPr>
        <w:pStyle w:val="ListBullet"/>
      </w:pPr>
      <w:r>
        <w:t>Tout appel externe doit avoir un timeout explicite raisonnable et une gestion d’erreur.</w:t>
      </w:r>
    </w:p>
    <w:p>
      <w:pPr>
        <w:pStyle w:val="ListBullet"/>
      </w:pPr>
      <w:r>
        <w:t>Les retries sont autorisés uniquement lorsqu’ils sont sûrs et idempotents, afin d’éviter créations, envois ou notifications en double.</w:t>
      </w:r>
    </w:p>
    <w:p>
      <w:pPr>
        <w:pStyle w:val="ListBullet"/>
      </w:pPr>
      <w:r>
        <w:t>Les commandes/actions sensibles doivent avoir une stratégie d’idempotence adaptée quand une répétition réseau est possible.</w:t>
      </w:r>
    </w:p>
    <w:p>
      <w:pPr>
        <w:pStyle w:val="ListBullet"/>
      </w:pPr>
      <w:r>
        <w:t>Prévoir un fallback ou un état d’échec exploitable quand un fournisseur externe (email, géocodage, anti-bot) est indisponible.</w:t>
      </w:r>
    </w:p>
    <w:p>
      <w:pPr>
        <w:pStyle w:val="Heading2"/>
        <w:keepNext/>
      </w:pPr>
      <w:r>
        <w:t>42. Performance et scalabilité raisonnable</w:t>
      </w:r>
    </w:p>
    <w:p>
      <w:pPr>
        <w:pStyle w:val="ListBullet"/>
      </w:pPr>
      <w:r>
        <w:t>Éviter les requêtes N+1 évidentes et documenter les requêtes critiques.</w:t>
      </w:r>
    </w:p>
    <w:p>
      <w:pPr>
        <w:pStyle w:val="ListBullet"/>
      </w:pPr>
      <w:r>
        <w:t>Paginer ou virtualiser toute liste susceptible de devenir volumineuse.</w:t>
      </w:r>
    </w:p>
    <w:p>
      <w:pPr>
        <w:pStyle w:val="ListBullet"/>
      </w:pPr>
      <w:r>
        <w:t>Indexer les champs de filtrage/routage importants : organization_id, service_id, status, priority, created_at et données territoriales pertinentes.</w:t>
      </w:r>
    </w:p>
    <w:p>
      <w:pPr>
        <w:pStyle w:val="ListBullet"/>
      </w:pPr>
      <w:r>
        <w:t>Optimiser les images par redimensionnement/compression et lazy loading lorsque pertinent.</w:t>
      </w:r>
    </w:p>
    <w:p>
      <w:pPr>
        <w:pStyle w:val="ListBullet"/>
      </w:pPr>
      <w:r>
        <w:t>Les dashboards doivent rester utilisables avec plusieurs milliers de signalements sans charger l’ensemble des données côté client.</w:t>
      </w:r>
    </w:p>
    <w:p>
      <w:pPr>
        <w:pStyle w:val="ListBullet"/>
      </w:pPr>
      <w:r>
        <w:t>Pas de cache distribué ou Redis tant qu’un besoin mesuré ne le justifie.</w:t>
      </w:r>
    </w:p>
    <w:p>
      <w:pPr>
        <w:pStyle w:val="Heading2"/>
        <w:keepNext/>
      </w:pPr>
      <w:r>
        <w:t>43. Sécurité des médias et données sensibles — précisions</w:t>
      </w:r>
    </w:p>
    <w:p>
      <w:pPr>
        <w:pStyle w:val="ListBullet"/>
      </w:pPr>
      <w:r>
        <w:t>Stockage média privé uniquement ; accès par URL signée temporaire et de courte durée.</w:t>
      </w:r>
    </w:p>
    <w:p>
      <w:pPr>
        <w:pStyle w:val="ListBullet"/>
      </w:pPr>
      <w:r>
        <w:t>Supprimer les métadonnées EXIF non nécessaires avant ou pendant le traitement de l’image.</w:t>
      </w:r>
    </w:p>
    <w:p>
      <w:pPr>
        <w:pStyle w:val="ListBullet"/>
      </w:pPr>
      <w:r>
        <w:t>Ne pas journaliser en clair les emails, plaques, tokens de suivi ou secrets.</w:t>
      </w:r>
    </w:p>
    <w:p>
      <w:pPr>
        <w:pStyle w:val="ListBullet"/>
      </w:pPr>
      <w:r>
        <w:t>Aucune recherche publique de plaque et aucune galerie publique de photos.</w:t>
      </w:r>
    </w:p>
    <w:p>
      <w:pPr>
        <w:pStyle w:val="ListBullet"/>
      </w:pPr>
      <w:r>
        <w:t>Les données personnelles et les données analytiques doivent être séparées autant que raisonnablement possible.</w:t>
      </w:r>
    </w:p>
    <w:p>
      <w:pPr>
        <w:pStyle w:val="Heading2"/>
        <w:keepNext/>
      </w:pPr>
      <w:r>
        <w:t>44. Feature flags et configuration</w:t>
      </w:r>
    </w:p>
    <w:p>
      <w:pPr>
        <w:pStyle w:val="ListBullet"/>
      </w:pPr>
      <w:r>
        <w:t>Prévoir un mécanisme léger de feature flags / configuration par environnement et, si nécessaire, par organisation.</w:t>
      </w:r>
    </w:p>
    <w:p>
      <w:pPr>
        <w:pStyle w:val="ListBullet"/>
      </w:pPr>
      <w:r>
        <w:t>Usages : activer une future verticale, tester une fonctionnalité sur un pilote, différencier DEV/DEMO/PROD.</w:t>
      </w:r>
    </w:p>
    <w:p>
      <w:pPr>
        <w:pStyle w:val="ListBullet"/>
      </w:pPr>
      <w:r>
        <w:t>Ne pas introduire une plateforme externe complexe de feature management dans le MVP.</w:t>
      </w:r>
    </w:p>
    <w:p>
      <w:pPr>
        <w:pStyle w:val="Heading2"/>
        <w:keepNext/>
      </w:pPr>
      <w:r>
        <w:t>45. QA — exigences finales de non-régression</w:t>
      </w:r>
    </w:p>
    <w:p>
      <w:r>
        <w:t>La règle de non-régression est absolue : chaque bug découvert pendant le développement est corrigé avec le niveau de test qui reproduit réellement le défaut.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Pr>
          <w:p>
            <w:r>
              <w:rPr>
                <w:b/>
              </w:rPr>
              <w:t>Type de bug</w:t>
            </w:r>
          </w:p>
        </w:tc>
        <w:tc>
          <w:tcPr>
            <w:tcW w:type="dxa" w:w="5083"/>
          </w:tcPr>
          <w:p>
            <w:r>
              <w:rPr>
                <w:b/>
              </w:rPr>
              <w:t>Test attendu</w:t>
            </w:r>
          </w:p>
        </w:tc>
      </w:tr>
      <w:tr>
        <w:tc>
          <w:tcPr>
            <w:tcW w:type="dxa" w:w="5083"/>
          </w:tcPr>
          <w:p>
            <w:r>
              <w:t>Règle métier isolée</w:t>
            </w:r>
          </w:p>
        </w:tc>
        <w:tc>
          <w:tcPr>
            <w:tcW w:type="dxa" w:w="5083"/>
          </w:tcPr>
          <w:p>
            <w:r>
              <w:t>Unitaire</w:t>
            </w:r>
          </w:p>
        </w:tc>
      </w:tr>
      <w:tr>
        <w:tc>
          <w:tcPr>
            <w:tcW w:type="dxa" w:w="5083"/>
          </w:tcPr>
          <w:p>
            <w:r>
              <w:t>Interaction DB / RLS / Auth / modules</w:t>
            </w:r>
          </w:p>
        </w:tc>
        <w:tc>
          <w:tcPr>
            <w:tcW w:type="dxa" w:w="5083"/>
          </w:tcPr>
          <w:p>
            <w:r>
              <w:t>Intégration</w:t>
            </w:r>
          </w:p>
        </w:tc>
      </w:tr>
      <w:tr>
        <w:tc>
          <w:tcPr>
            <w:tcW w:type="dxa" w:w="5083"/>
          </w:tcPr>
          <w:p>
            <w:r>
              <w:t>Parcours utilisateur ou enchaînement complet</w:t>
            </w:r>
          </w:p>
        </w:tc>
        <w:tc>
          <w:tcPr>
            <w:tcW w:type="dxa" w:w="5083"/>
          </w:tcPr>
          <w:p>
            <w:r>
              <w:t>E2E Playwright</w:t>
            </w:r>
          </w:p>
        </w:tc>
      </w:tr>
      <w:tr>
        <w:tc>
          <w:tcPr>
            <w:tcW w:type="dxa" w:w="5083"/>
          </w:tcPr>
          <w:p>
            <w:r>
              <w:t>Concurrence / atomicité</w:t>
            </w:r>
          </w:p>
        </w:tc>
        <w:tc>
          <w:tcPr>
            <w:tcW w:type="dxa" w:w="5083"/>
          </w:tcPr>
          <w:p>
            <w:r>
              <w:t>Test d’intégration ou concurrence ciblé</w:t>
            </w:r>
          </w:p>
        </w:tc>
      </w:tr>
      <w:tr>
        <w:tc>
          <w:tcPr>
            <w:tcW w:type="dxa" w:w="5083"/>
          </w:tcPr>
          <w:p>
            <w:r>
              <w:t>Accessibilité</w:t>
            </w:r>
          </w:p>
        </w:tc>
        <w:tc>
          <w:tcPr>
            <w:tcW w:type="dxa" w:w="5083"/>
          </w:tcPr>
          <w:p>
            <w:r>
              <w:t>Automatisé si possible + vérification manuelle documentée si nécessaire</w:t>
            </w:r>
          </w:p>
        </w:tc>
      </w:tr>
    </w:tbl>
    <w:p>
      <w:pPr>
        <w:pStyle w:val="ListBullet"/>
      </w:pPr>
      <w:r>
        <w:t>Le test doit pouvoir échouer sur la version défectueuse et passer après correction.</w:t>
      </w:r>
    </w:p>
    <w:p>
      <w:pPr>
        <w:pStyle w:val="ListBullet"/>
      </w:pPr>
      <w:r>
        <w:t>Il est interdit de supprimer, skip, affaiblir ou contourner un test valide simplement pour faire passer la CI.</w:t>
      </w:r>
    </w:p>
    <w:p>
      <w:pPr>
        <w:pStyle w:val="ListBullet"/>
      </w:pPr>
      <w:r>
        <w:t>Les tests doivent couvrir le comportement, pas les détails d’implémentation. Un pourcentage de couverture élevé ne remplace pas des assertions métier pertinentes.</w:t>
      </w:r>
    </w:p>
    <w:p>
      <w:pPr>
        <w:pStyle w:val="Heading2"/>
        <w:keepNext/>
      </w:pPr>
      <w:r>
        <w:t>46. Matrice de statut des décisions</w:t>
      </w:r>
    </w:p>
    <w:p>
      <w:r>
        <w:t>Pour éviter qu’une hypothèse de travail soit interprétée comme une obligation de production, les décisions sont classées selon le statut suivant :</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Pr>
          <w:p>
            <w:r>
              <w:rPr>
                <w:b/>
              </w:rPr>
              <w:t>Statut</w:t>
            </w:r>
          </w:p>
        </w:tc>
        <w:tc>
          <w:tcPr>
            <w:tcW w:type="dxa" w:w="5083"/>
          </w:tcPr>
          <w:p>
            <w:r>
              <w:rPr>
                <w:b/>
              </w:rPr>
              <w:t>Interprétation</w:t>
            </w:r>
          </w:p>
        </w:tc>
      </w:tr>
      <w:tr>
        <w:tc>
          <w:tcPr>
            <w:tcW w:type="dxa" w:w="5083"/>
          </w:tcPr>
          <w:p>
            <w:r>
              <w:t>VERROUILLÉ</w:t>
            </w:r>
          </w:p>
        </w:tc>
        <w:tc>
          <w:tcPr>
            <w:tcW w:type="dxa" w:w="5083"/>
          </w:tcPr>
          <w:p>
            <w:r>
              <w:t>Décision produit/technique à respecter dans le MVP sauf décision explicite ultérieure.</w:t>
            </w:r>
          </w:p>
        </w:tc>
      </w:tr>
      <w:tr>
        <w:tc>
          <w:tcPr>
            <w:tcW w:type="dxa" w:w="5083"/>
          </w:tcPr>
          <w:p>
            <w:r>
              <w:t>RECOMMANDÉ</w:t>
            </w:r>
          </w:p>
        </w:tc>
        <w:tc>
          <w:tcPr>
            <w:tcW w:type="dxa" w:w="5083"/>
          </w:tcPr>
          <w:p>
            <w:r>
              <w:t>Choix privilégié ; peut évoluer si une contrainte réelle justifie mieux.</w:t>
            </w:r>
          </w:p>
        </w:tc>
      </w:tr>
      <w:tr>
        <w:tc>
          <w:tcPr>
            <w:tcW w:type="dxa" w:w="5083"/>
          </w:tcPr>
          <w:p>
            <w:r>
              <w:t>HYPOTHÈSE DE TRAVAIL</w:t>
            </w:r>
          </w:p>
        </w:tc>
        <w:tc>
          <w:tcPr>
            <w:tcW w:type="dxa" w:w="5083"/>
          </w:tcPr>
          <w:p>
            <w:r>
              <w:t>Ordre de grandeur ou scénario utile à la stratégie, à revalider avant engagement externe.</w:t>
            </w:r>
          </w:p>
        </w:tc>
      </w:tr>
      <w:tr>
        <w:tc>
          <w:tcPr>
            <w:tcW w:type="dxa" w:w="5083"/>
          </w:tcPr>
          <w:p>
            <w:r>
              <w:t>HORS MVP / FUTUR</w:t>
            </w:r>
          </w:p>
        </w:tc>
        <w:tc>
          <w:tcPr>
            <w:tcW w:type="dxa" w:w="5083"/>
          </w:tcPr>
          <w:p>
            <w:r>
              <w:t>Préparé conceptuellement mais non développé maintenant.</w:t>
            </w:r>
          </w:p>
        </w:tc>
      </w:tr>
      <w:tr>
        <w:tc>
          <w:tcPr>
            <w:tcW w:type="dxa" w:w="5083"/>
          </w:tcPr>
          <w:p>
            <w:r>
              <w:t>À VALIDER AVANT PROD</w:t>
            </w:r>
          </w:p>
        </w:tc>
        <w:tc>
          <w:tcPr>
            <w:tcW w:type="dxa" w:w="5083"/>
          </w:tcPr>
          <w:p>
            <w:r>
              <w:t>Sujet nécessitant validation juridique, RGPD, contractuelle, pricing ou opérationnelle avant production réelle.</w:t>
            </w:r>
          </w:p>
        </w:tc>
      </w:tr>
    </w:tbl>
    <w:p>
      <w:pPr>
        <w:pStyle w:val="Heading2"/>
        <w:keepNext/>
      </w:pPr>
      <w:r>
        <w:t>47. Matrice de traçabilité des décisions clés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Pr>
          <w:p>
            <w:r>
              <w:rPr>
                <w:b/>
              </w:rPr>
              <w:t>Domaine</w:t>
            </w:r>
          </w:p>
        </w:tc>
        <w:tc>
          <w:tcPr>
            <w:tcW w:type="dxa" w:w="3389"/>
          </w:tcPr>
          <w:p>
            <w:r>
              <w:rPr>
                <w:b/>
              </w:rPr>
              <w:t>Décision</w:t>
            </w:r>
          </w:p>
        </w:tc>
        <w:tc>
          <w:tcPr>
            <w:tcW w:type="dxa" w:w="3389"/>
          </w:tcPr>
          <w:p>
            <w:r>
              <w:rPr>
                <w:b/>
              </w:rPr>
              <w:t>Statut</w:t>
            </w:r>
          </w:p>
        </w:tc>
      </w:tr>
      <w:tr>
        <w:tc>
          <w:tcPr>
            <w:tcW w:type="dxa" w:w="3389"/>
          </w:tcPr>
          <w:p>
            <w:r>
              <w:t>Citoyen</w:t>
            </w:r>
          </w:p>
        </w:tc>
        <w:tc>
          <w:tcPr>
            <w:tcW w:type="dxa" w:w="3389"/>
          </w:tcPr>
          <w:p>
            <w:r>
              <w:t>Gratuit, sans compte obligatoire, photo et email facultatifs</w:t>
            </w:r>
          </w:p>
        </w:tc>
        <w:tc>
          <w:tcPr>
            <w:tcW w:type="dxa" w:w="3389"/>
          </w:tcPr>
          <w:p>
            <w:r>
              <w:t>VERROUILLÉ</w:t>
            </w:r>
          </w:p>
        </w:tc>
      </w:tr>
      <w:tr>
        <w:tc>
          <w:tcPr>
            <w:tcW w:type="dxa" w:w="3389"/>
          </w:tcPr>
          <w:p>
            <w:r>
              <w:t>Sécurité citoyenne</w:t>
            </w:r>
          </w:p>
        </w:tc>
        <w:tc>
          <w:tcPr>
            <w:tcW w:type="dxa" w:w="3389"/>
          </w:tcPr>
          <w:p>
            <w:r>
              <w:t>Ne jamais inciter à se mettre en danger ou à confronter quelqu’un</w:t>
            </w:r>
          </w:p>
        </w:tc>
        <w:tc>
          <w:tcPr>
            <w:tcW w:type="dxa" w:w="3389"/>
          </w:tcPr>
          <w:p>
            <w:r>
              <w:t>VERROUILLÉ</w:t>
            </w:r>
          </w:p>
        </w:tc>
      </w:tr>
      <w:tr>
        <w:tc>
          <w:tcPr>
            <w:tcW w:type="dxa" w:w="3389"/>
          </w:tcPr>
          <w:p>
            <w:r>
              <w:t>Sanction</w:t>
            </w:r>
          </w:p>
        </w:tc>
        <w:tc>
          <w:tcPr>
            <w:tcW w:type="dxa" w:w="3389"/>
          </w:tcPr>
          <w:p>
            <w:r>
              <w:t>ActiCiv ne génère pas automatiquement amendes ou sanctions</w:t>
            </w:r>
          </w:p>
        </w:tc>
        <w:tc>
          <w:tcPr>
            <w:tcW w:type="dxa" w:w="3389"/>
          </w:tcPr>
          <w:p>
            <w:r>
              <w:t>VERROUILLÉ</w:t>
            </w:r>
          </w:p>
        </w:tc>
      </w:tr>
      <w:tr>
        <w:tc>
          <w:tcPr>
            <w:tcW w:type="dxa" w:w="3389"/>
          </w:tcPr>
          <w:p>
            <w:r>
              <w:t>Verticale MVP</w:t>
            </w:r>
          </w:p>
        </w:tc>
        <w:tc>
          <w:tcPr>
            <w:tcW w:type="dxa" w:w="3389"/>
          </w:tcPr>
          <w:p>
            <w:r>
              <w:t>Accessibilité uniquement active</w:t>
            </w:r>
          </w:p>
        </w:tc>
        <w:tc>
          <w:tcPr>
            <w:tcW w:type="dxa" w:w="3389"/>
          </w:tcPr>
          <w:p>
            <w:r>
              <w:t>VERROUILLÉ</w:t>
            </w:r>
          </w:p>
        </w:tc>
      </w:tr>
      <w:tr>
        <w:tc>
          <w:tcPr>
            <w:tcW w:type="dxa" w:w="3389"/>
          </w:tcPr>
          <w:p>
            <w:r>
              <w:t>Routage</w:t>
            </w:r>
          </w:p>
        </w:tc>
        <w:tc>
          <w:tcPr>
            <w:tcW w:type="dxa" w:w="3389"/>
          </w:tcPr>
          <w:p>
            <w:r>
              <w:t>GPS + catégorie + périmètre contractuel → organisation/service</w:t>
            </w:r>
          </w:p>
        </w:tc>
        <w:tc>
          <w:tcPr>
            <w:tcW w:type="dxa" w:w="3389"/>
          </w:tcPr>
          <w:p>
            <w:r>
              <w:t>VERROUILLÉ</w:t>
            </w:r>
          </w:p>
        </w:tc>
      </w:tr>
      <w:tr>
        <w:tc>
          <w:tcPr>
            <w:tcW w:type="dxa" w:w="3389"/>
          </w:tcPr>
          <w:p>
            <w:r>
              <w:t>Hors couverture</w:t>
            </w:r>
          </w:p>
        </w:tc>
        <w:tc>
          <w:tcPr>
            <w:tcW w:type="dxa" w:w="3389"/>
          </w:tcPr>
          <w:p>
            <w:r>
              <w:t>Enregistrer + proposer notification d’ouverture + exploiter commercialement</w:t>
            </w:r>
          </w:p>
        </w:tc>
        <w:tc>
          <w:tcPr>
            <w:tcW w:type="dxa" w:w="3389"/>
          </w:tcPr>
          <w:p>
            <w:r>
              <w:t>VERROUILLÉ</w:t>
            </w:r>
          </w:p>
        </w:tc>
      </w:tr>
      <w:tr>
        <w:tc>
          <w:tcPr>
            <w:tcW w:type="dxa" w:w="3389"/>
          </w:tcPr>
          <w:p>
            <w:r>
              <w:t>Priorité agent</w:t>
            </w:r>
          </w:p>
        </w:tc>
        <w:tc>
          <w:tcPr>
            <w:tcW w:type="dxa" w:w="3389"/>
          </w:tcPr>
          <w:p>
            <w:r>
              <w:t>Priorité métier &gt; distance à priorité égale &gt; âge/SLA</w:t>
            </w:r>
          </w:p>
        </w:tc>
        <w:tc>
          <w:tcPr>
            <w:tcW w:type="dxa" w:w="3389"/>
          </w:tcPr>
          <w:p>
            <w:r>
              <w:t>VERROUILLÉ</w:t>
            </w:r>
          </w:p>
        </w:tc>
      </w:tr>
      <w:tr>
        <w:tc>
          <w:tcPr>
            <w:tcW w:type="dxa" w:w="3389"/>
          </w:tcPr>
          <w:p>
            <w:r>
              <w:t>Position agent</w:t>
            </w:r>
          </w:p>
        </w:tc>
        <w:tc>
          <w:tcPr>
            <w:tcW w:type="dxa" w:w="3389"/>
          </w:tcPr>
          <w:p>
            <w:r>
              <w:t>Volontaire et explicite</w:t>
            </w:r>
          </w:p>
        </w:tc>
        <w:tc>
          <w:tcPr>
            <w:tcW w:type="dxa" w:w="3389"/>
          </w:tcPr>
          <w:p>
            <w:r>
              <w:t>VERROUILLÉ</w:t>
            </w:r>
          </w:p>
        </w:tc>
      </w:tr>
      <w:tr>
        <w:tc>
          <w:tcPr>
            <w:tcW w:type="dxa" w:w="3389"/>
          </w:tcPr>
          <w:p>
            <w:r>
              <w:t>Statuts citoyens</w:t>
            </w:r>
          </w:p>
        </w:tc>
        <w:tc>
          <w:tcPr>
            <w:tcW w:type="dxa" w:w="3389"/>
          </w:tcPr>
          <w:p>
            <w:r>
              <w:t>En cours / Résolu / Non résolu / Zone non couverte</w:t>
            </w:r>
          </w:p>
        </w:tc>
        <w:tc>
          <w:tcPr>
            <w:tcW w:type="dxa" w:w="3389"/>
          </w:tcPr>
          <w:p>
            <w:r>
              <w:t>VERROUILLÉ</w:t>
            </w:r>
          </w:p>
        </w:tc>
      </w:tr>
      <w:tr>
        <w:tc>
          <w:tcPr>
            <w:tcW w:type="dxa" w:w="3389"/>
          </w:tcPr>
          <w:p>
            <w:r>
              <w:t>Multi-tenant</w:t>
            </w:r>
          </w:p>
        </w:tc>
        <w:tc>
          <w:tcPr>
            <w:tcW w:type="dxa" w:w="3389"/>
          </w:tcPr>
          <w:p>
            <w:r>
              <w:t>Isolation stricte + RLS + tests A/B</w:t>
            </w:r>
          </w:p>
        </w:tc>
        <w:tc>
          <w:tcPr>
            <w:tcW w:type="dxa" w:w="3389"/>
          </w:tcPr>
          <w:p>
            <w:r>
              <w:t>VERROUILLÉ</w:t>
            </w:r>
          </w:p>
        </w:tc>
      </w:tr>
      <w:tr>
        <w:tc>
          <w:tcPr>
            <w:tcW w:type="dxa" w:w="3389"/>
          </w:tcPr>
          <w:p>
            <w:r>
              <w:t>Backend</w:t>
            </w:r>
          </w:p>
        </w:tc>
        <w:tc>
          <w:tcPr>
            <w:tcW w:type="dxa" w:w="3389"/>
          </w:tcPr>
          <w:p>
            <w:r>
              <w:t>Source de vérité de toute logique métier critique</w:t>
            </w:r>
          </w:p>
        </w:tc>
        <w:tc>
          <w:tcPr>
            <w:tcW w:type="dxa" w:w="3389"/>
          </w:tcPr>
          <w:p>
            <w:r>
              <w:t>VERROUILLÉ</w:t>
            </w:r>
          </w:p>
        </w:tc>
      </w:tr>
      <w:tr>
        <w:tc>
          <w:tcPr>
            <w:tcW w:type="dxa" w:w="3389"/>
          </w:tcPr>
          <w:p>
            <w:r>
              <w:t>Bugs</w:t>
            </w:r>
          </w:p>
        </w:tc>
        <w:tc>
          <w:tcPr>
            <w:tcW w:type="dxa" w:w="3389"/>
          </w:tcPr>
          <w:p>
            <w:r>
              <w:t>Correction + test de non-régression adapté</w:t>
            </w:r>
          </w:p>
        </w:tc>
        <w:tc>
          <w:tcPr>
            <w:tcW w:type="dxa" w:w="3389"/>
          </w:tcPr>
          <w:p>
            <w:r>
              <w:t>VERROUILLÉ</w:t>
            </w:r>
          </w:p>
        </w:tc>
      </w:tr>
      <w:tr>
        <w:tc>
          <w:tcPr>
            <w:tcW w:type="dxa" w:w="3389"/>
          </w:tcPr>
          <w:p>
            <w:r>
              <w:t>A11y</w:t>
            </w:r>
          </w:p>
        </w:tc>
        <w:tc>
          <w:tcPr>
            <w:tcW w:type="dxa" w:w="3389"/>
          </w:tcPr>
          <w:p>
            <w:r>
              <w:t>WCAG 2.2 AA dès la conception</w:t>
            </w:r>
          </w:p>
        </w:tc>
        <w:tc>
          <w:tcPr>
            <w:tcW w:type="dxa" w:w="3389"/>
          </w:tcPr>
          <w:p>
            <w:r>
              <w:t>VERROUILLÉ</w:t>
            </w:r>
          </w:p>
        </w:tc>
      </w:tr>
      <w:tr>
        <w:tc>
          <w:tcPr>
            <w:tcW w:type="dxa" w:w="3389"/>
          </w:tcPr>
          <w:p>
            <w:r>
              <w:t>Architecture</w:t>
            </w:r>
          </w:p>
        </w:tc>
        <w:tc>
          <w:tcPr>
            <w:tcW w:type="dxa" w:w="3389"/>
          </w:tcPr>
          <w:p>
            <w:r>
              <w:t>Monolithe modulaire TypeScript avec architecture hexagonale pragmatique sur les modules métier critiques ; pas de microservices prématurés</w:t>
            </w:r>
          </w:p>
        </w:tc>
        <w:tc>
          <w:tcPr>
            <w:tcW w:type="dxa" w:w="3389"/>
          </w:tcPr>
          <w:p>
            <w:r>
              <w:t>VERROUILLÉ</w:t>
            </w:r>
          </w:p>
        </w:tc>
      </w:tr>
      <w:tr>
        <w:tc>
          <w:tcPr>
            <w:tcW w:type="dxa" w:w="3389"/>
          </w:tcPr>
          <w:p>
            <w:r>
              <w:t>Cartographie</w:t>
            </w:r>
          </w:p>
        </w:tc>
        <w:tc>
          <w:tcPr>
            <w:tcW w:type="dxa" w:w="3389"/>
          </w:tcPr>
          <w:p>
            <w:r>
              <w:t>MapLibre + OSM compatible, couche abstraite</w:t>
            </w:r>
          </w:p>
        </w:tc>
        <w:tc>
          <w:tcPr>
            <w:tcW w:type="dxa" w:w="3389"/>
          </w:tcPr>
          <w:p>
            <w:r>
              <w:t>RECOMMANDÉ / VERROUILLÉ pour DEV</w:t>
            </w:r>
          </w:p>
        </w:tc>
      </w:tr>
      <w:tr>
        <w:tc>
          <w:tcPr>
            <w:tcW w:type="dxa" w:w="3389"/>
          </w:tcPr>
          <w:p>
            <w:r>
              <w:t>Pricing</w:t>
            </w:r>
          </w:p>
        </w:tc>
        <w:tc>
          <w:tcPr>
            <w:tcW w:type="dxa" w:w="3389"/>
          </w:tcPr>
          <w:p>
            <w:r>
              <w:t>Grille tarifaire actuelle</w:t>
            </w:r>
          </w:p>
        </w:tc>
        <w:tc>
          <w:tcPr>
            <w:tcW w:type="dxa" w:w="3389"/>
          </w:tcPr>
          <w:p>
            <w:r>
              <w:t>HYPOTHÈSE DE TRAVAIL</w:t>
            </w:r>
          </w:p>
        </w:tc>
      </w:tr>
      <w:tr>
        <w:tc>
          <w:tcPr>
            <w:tcW w:type="dxa" w:w="3389"/>
          </w:tcPr>
          <w:p>
            <w:r>
              <w:t>Trajectoire CA</w:t>
            </w:r>
          </w:p>
        </w:tc>
        <w:tc>
          <w:tcPr>
            <w:tcW w:type="dxa" w:w="3389"/>
          </w:tcPr>
          <w:p>
            <w:r>
              <w:t>Scénarios Années 1/2/3/5</w:t>
            </w:r>
          </w:p>
        </w:tc>
        <w:tc>
          <w:tcPr>
            <w:tcW w:type="dxa" w:w="3389"/>
          </w:tcPr>
          <w:p>
            <w:r>
              <w:t>HYPOTHÈSE DE TRAVAIL</w:t>
            </w:r>
          </w:p>
        </w:tc>
      </w:tr>
      <w:tr>
        <w:tc>
          <w:tcPr>
            <w:tcW w:type="dxa" w:w="3389"/>
          </w:tcPr>
          <w:p>
            <w:r>
              <w:t>MC Pao</w:t>
            </w:r>
          </w:p>
        </w:tc>
        <w:tc>
          <w:tcPr>
            <w:tcW w:type="dxa" w:w="3389"/>
          </w:tcPr>
          <w:p>
            <w:r>
              <w:t>Partenariat et financement cible ~25 k€</w:t>
            </w:r>
          </w:p>
        </w:tc>
        <w:tc>
          <w:tcPr>
            <w:tcW w:type="dxa" w:w="3389"/>
          </w:tcPr>
          <w:p>
            <w:r>
              <w:t>HYPOTHÈSE DE TRAVAIL</w:t>
            </w:r>
          </w:p>
        </w:tc>
      </w:tr>
      <w:tr>
        <w:tc>
          <w:tcPr>
            <w:tcW w:type="dxa" w:w="3389"/>
          </w:tcPr>
          <w:p>
            <w:r>
              <w:t>Données/RGPD</w:t>
            </w:r>
          </w:p>
        </w:tc>
        <w:tc>
          <w:tcPr>
            <w:tcW w:type="dxa" w:w="3389"/>
          </w:tcPr>
          <w:p>
            <w:r>
              <w:t>Rétention réelle, base légale et politique PROD</w:t>
            </w:r>
          </w:p>
        </w:tc>
        <w:tc>
          <w:tcPr>
            <w:tcW w:type="dxa" w:w="3389"/>
          </w:tcPr>
          <w:p>
            <w:r>
              <w:t>À VALIDER AVANT PROD</w:t>
            </w:r>
          </w:p>
        </w:tc>
      </w:tr>
      <w:tr>
        <w:tc>
          <w:tcPr>
            <w:tcW w:type="dxa" w:w="3389"/>
          </w:tcPr>
          <w:p>
            <w:r>
              <w:t>SSO/MFA</w:t>
            </w:r>
          </w:p>
        </w:tc>
        <w:tc>
          <w:tcPr>
            <w:tcW w:type="dxa" w:w="3389"/>
          </w:tcPr>
          <w:p>
            <w:r>
              <w:t>Architecture compatible, non implémentée MVP</w:t>
            </w:r>
          </w:p>
        </w:tc>
        <w:tc>
          <w:tcPr>
            <w:tcW w:type="dxa" w:w="3389"/>
          </w:tcPr>
          <w:p>
            <w:r>
              <w:t>HORS MVP / FUTUR</w:t>
            </w:r>
          </w:p>
        </w:tc>
      </w:tr>
      <w:tr>
        <w:tc>
          <w:tcPr>
            <w:tcW w:type="dxa" w:w="3389"/>
          </w:tcPr>
          <w:p>
            <w:r>
              <w:t>Dark mode</w:t>
            </w:r>
          </w:p>
        </w:tc>
        <w:tc>
          <w:tcPr>
            <w:tcW w:type="dxa" w:w="3389"/>
          </w:tcPr>
          <w:p>
            <w:r>
              <w:t>Tokens compatibles, pas de dark mode citoyen MVP</w:t>
            </w:r>
          </w:p>
        </w:tc>
        <w:tc>
          <w:tcPr>
            <w:tcW w:type="dxa" w:w="3389"/>
          </w:tcPr>
          <w:p>
            <w:r>
              <w:t>HORS MVP / FUTUR</w:t>
            </w:r>
          </w:p>
        </w:tc>
      </w:tr>
      <w:tr>
        <w:tc>
          <w:tcPr>
            <w:tcW w:type="dxa" w:w="3389"/>
          </w:tcPr>
          <w:p>
            <w:r>
              <w:t>Native mobile</w:t>
            </w:r>
          </w:p>
        </w:tc>
        <w:tc>
          <w:tcPr>
            <w:tcW w:type="dxa" w:w="3389"/>
          </w:tcPr>
          <w:p>
            <w:r>
              <w:t>PWA d’abord, apps iOS/Android natives hors MVP</w:t>
            </w:r>
          </w:p>
        </w:tc>
        <w:tc>
          <w:tcPr>
            <w:tcW w:type="dxa" w:w="3389"/>
          </w:tcPr>
          <w:p>
            <w:r>
              <w:t>HORS MVP / FUTUR</w:t>
            </w:r>
          </w:p>
        </w:tc>
      </w:tr>
      <w:tr>
        <w:tc>
          <w:tcPr>
            <w:tcW w:type="dxa" w:w="3389"/>
          </w:tcPr>
          <w:p>
            <w:r>
              <w:t>QA E2E</w:t>
            </w:r>
          </w:p>
        </w:tc>
        <w:tc>
          <w:tcPr>
            <w:tcW w:type="dxa" w:w="3389"/>
          </w:tcPr>
          <w:p>
            <w:r>
              <w:t>POM/Component Objects pragmatiques ; specs centrées sur le scénario ; locators/actions UI encapsulés sans masquer les assertions métier</w:t>
            </w:r>
          </w:p>
        </w:tc>
        <w:tc>
          <w:tcPr>
            <w:tcW w:type="dxa" w:w="3389"/>
          </w:tcPr>
          <w:p>
            <w:r>
              <w:t>VERROUILLÉ</w:t>
            </w:r>
          </w:p>
        </w:tc>
      </w:tr>
      <w:tr>
        <w:tc>
          <w:tcPr>
            <w:tcW w:type="dxa" w:w="3389"/>
          </w:tcPr>
          <w:p>
            <w:r>
              <w:t>Internationalisation</w:t>
            </w:r>
          </w:p>
        </w:tc>
        <w:tc>
          <w:tcPr>
            <w:tcW w:type="dxa" w:w="3389"/>
          </w:tcPr>
          <w:p>
            <w:r>
              <w:t>Architecture locale-first ; langue/locale/timezone séparées ; choix explicite prioritaire ; fallback déterministe ; codes métier indépendants des traductions</w:t>
            </w:r>
          </w:p>
        </w:tc>
        <w:tc>
          <w:tcPr>
            <w:tcW w:type="dxa" w:w="3389"/>
          </w:tcPr>
          <w:p>
            <w:r>
              <w:t>VERROUILLÉ</w:t>
            </w:r>
          </w:p>
        </w:tc>
      </w:tr>
      <w:tr>
        <w:tc>
          <w:tcPr>
            <w:tcW w:type="dxa" w:w="3389"/>
          </w:tcPr>
          <w:p>
            <w:r>
              <w:t>TDD / développement</w:t>
            </w:r>
          </w:p>
        </w:tc>
        <w:tc>
          <w:tcPr>
            <w:tcW w:type="dxa" w:w="3389"/>
          </w:tcPr>
          <w:p>
            <w:r>
              <w:t>Test-first obligatoire pour logique métier, sécurité, permissions, concurrence et invariants non triviaux ; Red→Green→Refactor ; bug = test de non-régression avant correction quand raisonnablement possible.</w:t>
            </w:r>
          </w:p>
        </w:tc>
        <w:tc>
          <w:tcPr>
            <w:tcW w:type="dxa" w:w="3389"/>
          </w:tcPr>
          <w:p>
            <w:r>
              <w:t>VERROUILLÉ</w:t>
            </w:r>
          </w:p>
        </w:tc>
      </w:tr>
      <w:tr>
        <w:tc>
          <w:tcPr>
            <w:tcW w:type="dxa" w:w="3389"/>
          </w:tcPr>
          <w:p>
            <w:r>
              <w:t>Taxonomie tests</w:t>
            </w:r>
          </w:p>
        </w:tc>
        <w:tc>
          <w:tcPr>
            <w:tcW w:type="dxa" w:w="3389"/>
          </w:tcPr>
          <w:p>
            <w:r>
              <w:t>Criticité au niveau du test : @critical/@high/@medium/@low ; route et composant au niveau describe : @route:* et @component:* ; tags @type:* optionnels et contrôlés.</w:t>
            </w:r>
          </w:p>
        </w:tc>
        <w:tc>
          <w:tcPr>
            <w:tcW w:type="dxa" w:w="3389"/>
          </w:tcPr>
          <w:p>
            <w:r>
              <w:t>VERROUILLÉ</w:t>
            </w:r>
          </w:p>
        </w:tc>
      </w:tr>
      <w:tr>
        <w:tc>
          <w:tcPr>
            <w:tcW w:type="dxa" w:w="3389"/>
          </w:tcPr>
          <w:p>
            <w:r>
              <w:t>Coverage</w:t>
            </w:r>
          </w:p>
        </w:tc>
        <w:tc>
          <w:tcPr>
            <w:tcW w:type="dxa" w:w="3389"/>
          </w:tcPr>
          <w:p>
            <w:r>
              <w:t>Mesurer statements/branches/functions/lines, suivre la couverture globale et par modules critiques ; la couverture ne remplace jamais des tests comportementaux.</w:t>
            </w:r>
          </w:p>
        </w:tc>
        <w:tc>
          <w:tcPr>
            <w:tcW w:type="dxa" w:w="3389"/>
          </w:tcPr>
          <w:p>
            <w:r>
              <w:t>VERROUILLÉ</w:t>
            </w:r>
          </w:p>
        </w:tc>
      </w:tr>
      <w:tr>
        <w:tc>
          <w:tcPr>
            <w:tcW w:type="dxa" w:w="3389"/>
          </w:tcPr>
          <w:p>
            <w:r>
              <w:t>Quality reporting</w:t>
            </w:r>
          </w:p>
        </w:tc>
        <w:tc>
          <w:tcPr>
            <w:tcW w:type="dxa" w:w="3389"/>
          </w:tcPr>
          <w:p>
            <w:r>
              <w:t>Tous les outils QA produisent des résultats machine-readable agrégés par SHA/environnement ; historisation et comparaison avec baseline PROD.</w:t>
            </w:r>
          </w:p>
        </w:tc>
        <w:tc>
          <w:tcPr>
            <w:tcW w:type="dxa" w:w="3389"/>
          </w:tcPr>
          <w:p>
            <w:r>
              <w:t>VERROUILLÉ</w:t>
            </w:r>
          </w:p>
        </w:tc>
      </w:tr>
      <w:tr>
        <w:tc>
          <w:tcPr>
            <w:tcW w:type="dxa" w:w="3389"/>
          </w:tcPr>
          <w:p>
            <w:r>
              <w:t>Quality Gates</w:t>
            </w:r>
          </w:p>
        </w:tc>
        <w:tc>
          <w:tcPr>
            <w:tcW w:type="dxa" w:w="3389"/>
          </w:tcPr>
          <w:p>
            <w:r>
              <w:t>Promotions DEV→DEMO→PROD conditionnées par des gates explicites et configurables ; un échec critique bloque même si les autres métriques sont bonnes.</w:t>
            </w:r>
          </w:p>
        </w:tc>
        <w:tc>
          <w:tcPr>
            <w:tcW w:type="dxa" w:w="3389"/>
          </w:tcPr>
          <w:p>
            <w:r>
              <w:t>VERROUILLÉ</w:t>
            </w:r>
          </w:p>
        </w:tc>
      </w:tr>
      <w:tr>
        <w:tc>
          <w:tcPr>
            <w:tcW w:type="dxa" w:w="3389"/>
          </w:tcPr>
          <w:p>
            <w:r>
              <w:t>Release immuable</w:t>
            </w:r>
          </w:p>
        </w:tc>
        <w:tc>
          <w:tcPr>
            <w:tcW w:type="dxa" w:w="3389"/>
          </w:tcPr>
          <w:p>
            <w:r>
              <w:t>Promouvoir le même SHA et le même artefact validé ; toute modification après validation impose une nouvelle validation.</w:t>
            </w:r>
          </w:p>
        </w:tc>
        <w:tc>
          <w:tcPr>
            <w:tcW w:type="dxa" w:w="3389"/>
          </w:tcPr>
          <w:p>
            <w:r>
              <w:t>VERROUILLÉ</w:t>
            </w:r>
          </w:p>
        </w:tc>
      </w:tr>
      <w:tr>
        <w:tc>
          <w:tcPr>
            <w:tcW w:type="dxa" w:w="3389"/>
          </w:tcPr>
          <w:p>
            <w:r>
              <w:t>Retries / flakiness</w:t>
            </w:r>
          </w:p>
        </w:tc>
        <w:tc>
          <w:tcPr>
            <w:tcW w:type="dxa" w:w="3389"/>
          </w:tcPr>
          <w:p>
            <w:r>
              <w:t>Les runs officiels de release restent sans retry masquant un défaut ; la flakiness est mesurée séparément par répétitions intentionnelles.</w:t>
            </w:r>
          </w:p>
        </w:tc>
        <w:tc>
          <w:tcPr>
            <w:tcW w:type="dxa" w:w="3389"/>
          </w:tcPr>
          <w:p>
            <w:r>
              <w:t>VERROUILLÉ</w:t>
            </w:r>
          </w:p>
        </w:tc>
      </w:tr>
      <w:tr>
        <w:tc>
          <w:tcPr>
            <w:tcW w:type="dxa" w:w="3389"/>
          </w:tcPr>
          <w:p>
            <w:r>
              <w:t>Security Assurance</w:t>
            </w:r>
          </w:p>
        </w:tc>
        <w:tc>
          <w:tcPr>
            <w:tcW w:type="dxa" w:w="3389"/>
          </w:tcPr>
          <w:p>
            <w:r>
              <w:t>SAST, dependency audit, secret scanning, tests RLS/Auth, DAST adapté ; pentest indépendant avant première vraie PROD/pilote significatif et retest après corrections critiques.</w:t>
            </w:r>
          </w:p>
        </w:tc>
        <w:tc>
          <w:tcPr>
            <w:tcW w:type="dxa" w:w="3389"/>
          </w:tcPr>
          <w:p>
            <w:r>
              <w:t>VERROUILLÉ</w:t>
            </w:r>
          </w:p>
        </w:tc>
      </w:tr>
      <w:tr>
        <w:tc>
          <w:tcPr>
            <w:tcW w:type="dxa" w:w="3389"/>
          </w:tcPr>
          <w:p>
            <w:r>
              <w:t>Observabilité</w:t>
            </w:r>
          </w:p>
        </w:tc>
        <w:tc>
          <w:tcPr>
            <w:tcW w:type="dxa" w:w="3389"/>
          </w:tcPr>
          <w:p>
            <w:r>
              <w:t>Analytics, Audit et Logs sont trois flux séparés par conception ; ils peuvent partager un correlation_id mais ne se substituent jamais l’un à l’autre.</w:t>
            </w:r>
          </w:p>
        </w:tc>
        <w:tc>
          <w:tcPr>
            <w:tcW w:type="dxa" w:w="3389"/>
          </w:tcPr>
          <w:p>
            <w:r>
              <w:t>VERROUILLÉ</w:t>
            </w:r>
          </w:p>
        </w:tc>
      </w:tr>
      <w:tr>
        <w:tc>
          <w:tcPr>
            <w:tcW w:type="dxa" w:w="3389"/>
          </w:tcPr>
          <w:p>
            <w:r>
              <w:t>Analytics produit</w:t>
            </w:r>
          </w:p>
        </w:tc>
        <w:tc>
          <w:tcPr>
            <w:tcW w:type="dxa" w:w="3389"/>
          </w:tcPr>
          <w:p>
            <w:r>
              <w:t>Taxonomie stable, usage agrégé/minimisé, privacy by design, pas de PII/texte libre/GPS précis/tokens dans les analytics ; provider derrière adaptateur.</w:t>
            </w:r>
          </w:p>
        </w:tc>
        <w:tc>
          <w:tcPr>
            <w:tcW w:type="dxa" w:w="3389"/>
          </w:tcPr>
          <w:p>
            <w:r>
              <w:t>VERROUILLÉ</w:t>
            </w:r>
          </w:p>
        </w:tc>
      </w:tr>
      <w:tr>
        <w:tc>
          <w:tcPr>
            <w:tcW w:type="dxa" w:w="3389"/>
          </w:tcPr>
          <w:p>
            <w:r>
              <w:t>Knowledge Base</w:t>
            </w:r>
          </w:p>
        </w:tc>
        <w:tc>
          <w:tcPr>
            <w:tcW w:type="dxa" w:w="3389"/>
          </w:tcPr>
          <w:p>
            <w:r>
              <w:t>KB métier et technique en Markdown structuré, frontmatter machine-readable, traçabilité feature→droits→code→tests→audit/analytics/logs→ADR.</w:t>
            </w:r>
          </w:p>
        </w:tc>
        <w:tc>
          <w:tcPr>
            <w:tcW w:type="dxa" w:w="3389"/>
          </w:tcPr>
          <w:p>
            <w:r>
              <w:t>VERROUILLÉ</w:t>
            </w:r>
          </w:p>
        </w:tc>
      </w:tr>
      <w:tr>
        <w:tc>
          <w:tcPr>
            <w:tcW w:type="dxa" w:w="3389"/>
          </w:tcPr>
          <w:p>
            <w:r>
              <w:t>ADR</w:t>
            </w:r>
          </w:p>
        </w:tc>
        <w:tc>
          <w:tcPr>
            <w:tcW w:type="dxa" w:w="3389"/>
          </w:tcPr>
          <w:p>
            <w:r>
              <w:t>Toute décision architecturale/technologique structurante possède une ADR ; une décision acceptée est supersédée par une nouvelle ADR, pas réécrite silencieusement.</w:t>
            </w:r>
          </w:p>
        </w:tc>
        <w:tc>
          <w:tcPr>
            <w:tcW w:type="dxa" w:w="3389"/>
          </w:tcPr>
          <w:p>
            <w:r>
              <w:t>VERROUILLÉ</w:t>
            </w:r>
          </w:p>
        </w:tc>
      </w:tr>
      <w:tr>
        <w:tc>
          <w:tcPr>
            <w:tcW w:type="dxa" w:w="3389"/>
          </w:tcPr>
          <w:p>
            <w:r>
              <w:t>Rules &amp; Skills IA/dev</w:t>
            </w:r>
          </w:p>
        </w:tc>
        <w:tc>
          <w:tcPr>
            <w:tcW w:type="dxa" w:w="3389"/>
          </w:tcPr>
          <w:p>
            <w:r>
              <w:t>AGENTS.md/règles persistantes + Skills réutilisables pour implémenter, modifier, corriger, migrer, sécuriser, documenter et préparer une release.</w:t>
            </w:r>
          </w:p>
        </w:tc>
        <w:tc>
          <w:tcPr>
            <w:tcW w:type="dxa" w:w="3389"/>
          </w:tcPr>
          <w:p>
            <w:r>
              <w:t>VERROUILLÉ</w:t>
            </w:r>
          </w:p>
        </w:tc>
      </w:tr>
      <w:tr>
        <w:tc>
          <w:tcPr>
            <w:tcW w:type="dxa" w:w="3389"/>
          </w:tcPr>
          <w:p>
            <w:r>
              <w:t>Definition of Done</w:t>
            </w:r>
          </w:p>
        </w:tc>
        <w:tc>
          <w:tcPr>
            <w:tcW w:type="dxa" w:w="3389"/>
          </w:tcPr>
          <w:p>
            <w:r>
              <w:t>Une feature n’est DONE que si code, tests, TDD si applicable, coverage, sécurité, a11y, i18n, observabilité pertinente, KB/ADR et Quality Gates sont satisfaits ou explicitement justifiés.</w:t>
            </w:r>
          </w:p>
        </w:tc>
        <w:tc>
          <w:tcPr>
            <w:tcW w:type="dxa" w:w="3389"/>
          </w:tcPr>
          <w:p>
            <w:r>
              <w:t>VERROUILLÉ</w:t>
            </w:r>
          </w:p>
        </w:tc>
      </w:tr>
      <w:tr>
        <w:tc>
          <w:tcPr>
            <w:tcW w:type="dxa" w:w="3389"/>
          </w:tcPr>
          <w:p>
            <w:r>
              <w:t>Quality Center</w:t>
            </w:r>
          </w:p>
        </w:tc>
        <w:tc>
          <w:tcPr>
            <w:tcW w:type="dxa" w:w="3389"/>
          </w:tcPr>
          <w:p>
            <w:r>
              <w:t>Super Admin : vue read-only issue de la même source de preuves que les Quality Gates, avec SHA/env, coverage, tests, fails, flakiness, a11y, security, historique et blocages.</w:t>
            </w:r>
          </w:p>
        </w:tc>
        <w:tc>
          <w:tcPr>
            <w:tcW w:type="dxa" w:w="3389"/>
          </w:tcPr>
          <w:p>
            <w:r>
              <w:t>VERROUILLÉ</w:t>
            </w:r>
          </w:p>
        </w:tc>
      </w:tr>
      <w:tr>
        <w:tc>
          <w:tcPr>
            <w:tcW w:type="dxa" w:w="3389"/>
          </w:tcPr>
          <w:p>
            <w:r>
              <w:t>Conventions exécutables</w:t>
            </w:r>
          </w:p>
        </w:tc>
        <w:tc>
          <w:tcPr>
            <w:tcW w:type="dxa" w:w="3389"/>
          </w:tcPr>
          <w:p>
            <w:r>
              <w:t>Toute convention importante et automatisable devient un garde-fou exécutable (Prettier/TS/ESLint/tests d’architecture/gates).</w:t>
            </w:r>
          </w:p>
        </w:tc>
        <w:tc>
          <w:tcPr>
            <w:tcW w:type="dxa" w:w="3389"/>
          </w:tcPr>
          <w:p>
            <w:r>
              <w:t>VERROUILLÉ</w:t>
            </w:r>
          </w:p>
        </w:tc>
      </w:tr>
      <w:tr>
        <w:tc>
          <w:tcPr>
            <w:tcW w:type="dxa" w:w="3389"/>
          </w:tcPr>
          <w:p>
            <w:r>
              <w:t>Tagging E2E</w:t>
            </w:r>
          </w:p>
        </w:tc>
        <w:tc>
          <w:tcPr>
            <w:tcW w:type="dxa" w:w="3389"/>
          </w:tcPr>
          <w:p>
            <w:r>
              <w:t>Criticité obligatoire par test ; route/composant obligatoires au niveau suite lorsque applicable ; absence = erreur automatique.</w:t>
            </w:r>
          </w:p>
        </w:tc>
        <w:tc>
          <w:tcPr>
            <w:tcW w:type="dxa" w:w="3389"/>
          </w:tcPr>
          <w:p>
            <w:r>
              <w:t>VERROUILLÉ</w:t>
            </w:r>
          </w:p>
        </w:tc>
      </w:tr>
      <w:tr>
        <w:tc>
          <w:tcPr>
            <w:tcW w:type="dxa" w:w="3389"/>
          </w:tcPr>
          <w:p>
            <w:r>
              <w:t>Production Artifact Hygiene</w:t>
            </w:r>
          </w:p>
        </w:tc>
        <w:tc>
          <w:tcPr>
            <w:tcW w:type="dxa" w:w="3389"/>
          </w:tcPr>
          <w:p>
            <w:r>
              <w:t>Scan de l’artefact compilé ; aucun élément test/debug inutile en PROD sans exception approuvée.</w:t>
            </w:r>
          </w:p>
        </w:tc>
        <w:tc>
          <w:tcPr>
            <w:tcW w:type="dxa" w:w="3389"/>
          </w:tcPr>
          <w:p>
            <w:r>
              <w:t>VERROUILLÉ</w:t>
            </w:r>
          </w:p>
        </w:tc>
      </w:tr>
      <w:tr>
        <w:tc>
          <w:tcPr>
            <w:tcW w:type="dxa" w:w="3389"/>
          </w:tcPr>
          <w:p>
            <w:r>
              <w:t>Production Performance Hygiene</w:t>
            </w:r>
          </w:p>
        </w:tc>
        <w:tc>
          <w:tcPr>
            <w:tcW w:type="dxa" w:w="3389"/>
          </w:tcPr>
          <w:p>
            <w:r>
              <w:t>Budgets et contrôles de régression ; aucun coût runtime inutile sans justification explicite.</w:t>
            </w:r>
          </w:p>
        </w:tc>
        <w:tc>
          <w:tcPr>
            <w:tcW w:type="dxa" w:w="3389"/>
          </w:tcPr>
          <w:p>
            <w:r>
              <w:t>VERROUILLÉ</w:t>
            </w:r>
          </w:p>
        </w:tc>
      </w:tr>
      <w:tr>
        <w:tc>
          <w:tcPr>
            <w:tcW w:type="dxa" w:w="3389"/>
          </w:tcPr>
          <w:p>
            <w:r>
              <w:t>Rigueur proportionnée</w:t>
            </w:r>
          </w:p>
        </w:tc>
        <w:tc>
          <w:tcPr>
            <w:tcW w:type="dxa" w:w="3389"/>
          </w:tcPr>
          <w:p>
            <w:r>
              <w:t>Les contrôles et la DoD sont proportionnés au risque ; éviter la bureaucratie et l’overengineering.</w:t>
            </w:r>
          </w:p>
        </w:tc>
        <w:tc>
          <w:tcPr>
            <w:tcW w:type="dxa" w:w="3389"/>
          </w:tcPr>
          <w:p>
            <w:r>
              <w:t>VERROUILLÉ</w:t>
            </w:r>
          </w:p>
        </w:tc>
      </w:tr>
    </w:tbl>
    <w:p>
      <w:pPr>
        <w:pStyle w:val="Heading2"/>
      </w:pPr>
      <w:r>
        <w:t>49. Architecture hexagonale pragmatique — décision transverse</w:t>
      </w:r>
    </w:p>
    <w:p>
      <w:pPr/>
      <w:r>
        <w:t>Décision verrouillée : ActiCiv reste un monolithe modulaire, mais les modules métier critiques utilisent une séparation hexagonale pragmatique entre domaine, application et infrastructure.</w:t>
      </w:r>
    </w:p>
    <w:p>
      <w:pPr>
        <w:pStyle w:val="ListBullet"/>
      </w:pPr>
      <w:r>
        <w:t>Le domaine est pur et indépendant de Next.js, Supabase, HTTP et des SDK externes.</w:t>
      </w:r>
    </w:p>
    <w:p>
      <w:pPr>
        <w:pStyle w:val="ListBullet"/>
      </w:pPr>
      <w:r>
        <w:t>Les cas d’usage orchestrent les règles et dépendent de ports définis côté application/domaine lorsque nécessaire.</w:t>
      </w:r>
    </w:p>
    <w:p>
      <w:pPr>
        <w:pStyle w:val="ListBullet"/>
      </w:pPr>
      <w:r>
        <w:t>Les implémentations Supabase/PostgreSQL/PostGIS/Storage/email/anti-bot sont des adaptateurs d’infrastructure remplaçables.</w:t>
      </w:r>
    </w:p>
    <w:p>
      <w:pPr>
        <w:pStyle w:val="ListBullet"/>
      </w:pPr>
      <w:r>
        <w:t>Les entrypoints serveur valident/authentifient et traduisent les transports ; ils ne portent pas la logique métier.</w:t>
      </w:r>
    </w:p>
    <w:p>
      <w:pPr>
        <w:pStyle w:val="ListBullet"/>
      </w:pPr>
      <w:r>
        <w:t>L’hexagone est appliqué là où il protège une vraie logique métier ; aucune cérémonie ou couche vide n’est créée pour les modules simples.</w:t>
      </w:r>
    </w:p>
    <w:p>
      <w:pPr>
        <w:pStyle w:val="ListBullet"/>
      </w:pPr>
      <w:r>
        <w:t>Les tests unitaires doivent pouvoir exercer le domaine critique sans démarrer Supabase ou Next.js ; les tests d’intégration valident séparément les adaptateurs réels.</w:t>
      </w:r>
    </w:p>
    <w:p>
      <w:pPr>
        <w:pStyle w:val="Heading2"/>
      </w:pPr>
      <w:r>
        <w:t>50. Architecture des tests E2E — Page Object Model</w:t>
      </w:r>
    </w:p>
    <w:p>
      <w:pPr/>
      <w:r>
        <w:t>Décision verrouillée : la suite E2E Playwright d’ActiCiv adopte un Page Object Model pragmatique. Le but est de maintenir des specs lisibles comme des scénarios fonctionnels et de centraliser la mécanique UI qui change fréquemment.</w:t>
      </w:r>
    </w:p>
    <w:p>
      <w:pPr/>
      <w:r>
        <w:t>Structure cible indicative : `e2e/pages`, `e2e/components`, `e2e/fixtures`, puis specs orientées scénario. La structure exacte suit les surfaces réelles et ne crée pas de fichiers vides.</w:t>
      </w:r>
    </w:p>
    <w:p>
      <w:pPr>
        <w:pStyle w:val="ListBullet"/>
      </w:pPr>
      <w:r>
        <w:t>Les Page Objects exposent des actions sémantiques et des locators stables ; les Component Objects encapsulent uniquement les widgets réellement réutilisés (dialog, sélecteur de localisation, navigation, etc.).</w:t>
      </w:r>
    </w:p>
    <w:p>
      <w:pPr>
        <w:pStyle w:val="ListBullet"/>
      </w:pPr>
      <w:r>
        <w:t>Les specs conservent la narration Given/When/Then implicite et les assertions métier essentielles. Elles ne doivent pas devenir une simple suite d’appels opaques à un POM qui cacherait le comportement vérifié.</w:t>
      </w:r>
    </w:p>
    <w:p>
      <w:pPr>
        <w:pStyle w:val="ListBullet"/>
      </w:pPr>
      <w:r>
        <w:t>Les POM ne portent ni état partagé entre tests, ni données métier globales, ni logique serveur. Ils restent une abstraction de test, pas une deuxième application.</w:t>
      </w:r>
    </w:p>
    <w:p>
      <w:pPr>
        <w:pStyle w:val="ListBullet"/>
      </w:pPr>
      <w:r>
        <w:t>Les sélecteurs accessibles sont privilégiés. Un changement d’implémentation purement visuel ne doit pas obliger à réécrire des dizaines de specs si le comportement accessible reste stable.</w:t>
      </w:r>
    </w:p>
    <w:p>
      <w:pPr>
        <w:pStyle w:val="ListBullet"/>
      </w:pPr>
      <w:r>
        <w:t>La qualité du POM fait partie des critères de revue QA : nommage métier, faible duplication, absence de God Object, aucune assertion affaiblie et aucune suppression de couverture existante.</w:t>
      </w:r>
    </w:p>
    <w:p>
      <w:pPr>
        <w:pStyle w:val="Heading2"/>
      </w:pPr>
      <w:r>
        <w:t>51. Internationalisation, locales et formats — décision transverse</w:t>
      </w:r>
    </w:p>
    <w:p>
      <w:pPr/>
      <w:r>
        <w:t>Décision verrouillée : ActiCiv est conçu locale-first. Le MVP initial peut être principalement français, mais aucun nouveau parcours ne doit être architecturé comme si le français était intrinsèque au domaine.</w:t>
      </w:r>
    </w:p>
    <w:p>
      <w:pPr/>
      <w:r>
        <w:t>Trois concepts restent strictement séparés : langue d’interface, locale BCP 47 et fuseau IANA. Une locale ne détermine pas la timezone, et une organisation française n’impose pas nécessairement une interface française à tous ses utilisateurs.</w:t>
      </w:r>
    </w:p>
    <w:p>
      <w:pPr>
        <w:pStyle w:val="ListBullet"/>
      </w:pPr>
      <w:r>
        <w:t>Les codes métier restent stables et indépendants des traductions : statuts, priorités, catégories, motifs et événements utilisent des identifiants/codes ; leurs libellés sont résolus par locale.</w:t>
      </w:r>
    </w:p>
    <w:p>
      <w:pPr>
        <w:pStyle w:val="ListBullet"/>
      </w:pPr>
      <w:r>
        <w:t>Les textes UI, erreurs utilisateur, emails et notifications utilisent des clés de message et des catalogues traduisibles. Aucun workflow métier ne doit dépendre de la comparaison d’un libellé traduit.</w:t>
      </w:r>
    </w:p>
    <w:p>
      <w:pPr>
        <w:pStyle w:val="ListBullet"/>
      </w:pPr>
      <w:r>
        <w:t>Les dates, heures, nombres, distances et temps relatifs utilisent les APIs `Intl` ou un mécanisme locale-aware équivalent. Les formats codés en dur (`dd/mm/yyyy`, séparateurs, pluriels) sont interdits dans l’UI métier.</w:t>
      </w:r>
    </w:p>
    <w:p>
      <w:pPr>
        <w:pStyle w:val="ListBullet"/>
      </w:pPr>
      <w:r>
        <w:t>Les référentiels métier configurables affichés aux utilisateurs doivent pouvoir disposer de traductions lorsque le besoin existe. Les noms propres d’organisation/service ne sont pas traduits par défaut.</w:t>
      </w:r>
    </w:p>
    <w:p>
      <w:pPr>
        <w:pStyle w:val="ListBullet"/>
      </w:pPr>
      <w:r>
        <w:t>La liste des locales supportées et la locale plateforme de repli sont centralisées, pas dispersées dans les composants. Initialement, la Phase 2 bis doit exercer au moins `fr-FR` et `en-GB` pour prouver le fonctionnement réel du mécanisme.</w:t>
      </w:r>
    </w:p>
    <w:p>
      <w:pPr>
        <w:pStyle w:val="Heading2"/>
      </w:pPr>
      <w:r>
        <w:t>52. Résolution et persistance de la locale</w:t>
      </w:r>
    </w:p>
    <w:p>
      <w:pPr/>
      <w:r>
        <w:t>La détection automatique est une commodité ; le choix explicite de l’utilisateur reste prioritaire et doit être persistant.</w:t>
      </w:r>
    </w:p>
    <w:p>
      <w:pPr>
        <w:pStyle w:val="ListBullet"/>
      </w:pPr>
      <w:r>
        <w:t>Citoyen non authentifié : préférence explicite persistée (cookie) → meilleure correspondance `Accept-Language` du navigateur → locale par défaut du contexte organisation/territoire lorsqu’il est déjà connu → fallback plateforme.</w:t>
      </w:r>
    </w:p>
    <w:p>
      <w:pPr>
        <w:pStyle w:val="ListBullet"/>
      </w:pPr>
      <w:r>
        <w:t>Professionnel authentifié : préférence explicite du profil → locale par défaut de son organisation → préférence locale/cookie ou navigateur pour l’amorçage → fallback plateforme.</w:t>
      </w:r>
    </w:p>
    <w:p>
      <w:pPr>
        <w:pStyle w:val="ListBullet"/>
      </w:pPr>
      <w:r>
        <w:t>Un sélecteur de langue/locale reste accessible dans les surfaces pertinentes. Le navigateur ou l’administrateur ne doit jamais empêcher un utilisateur de choisir une autre locale supportée.</w:t>
      </w:r>
    </w:p>
    <w:p>
      <w:pPr>
        <w:pStyle w:val="ListBullet"/>
      </w:pPr>
      <w:r>
        <w:t>L’organisation possède une locale par défaut configurable ; elle ne force pas la préférence personnelle d’un professionnel. Le stockage de ces préférences doit respecter le modèle multi-tenant et les règles RLS existantes.</w:t>
      </w:r>
    </w:p>
    <w:p>
      <w:pPr>
        <w:pStyle w:val="ListBullet"/>
      </w:pPr>
      <w:r>
        <w:t>Le choix de locale ne modifie jamais la timezone SLA. `default_locale` et `time_zone` sont deux paramètres distincts, testés séparément.</w:t>
      </w:r>
    </w:p>
    <w:p>
      <w:pPr>
        <w:pStyle w:val="ListBullet"/>
      </w:pPr>
      <w:r>
        <w:t>La négociation de locale doit avoir un comportement déterministe : locale exacte supportée → correspondance de langue vers une locale supportée → fallback. Les valeurs inconnues ou malformées ne doivent pas casser le rendu.</w:t>
      </w:r>
    </w:p>
    <w:p>
      <w:pPr>
        <w:pStyle w:val="ListBullet"/>
      </w:pPr>
      <w:r>
        <w:t>Les URLs et la stratégie de routage i18n doivent rester compatibles avec les liens profonds, callbacks Auth et tokens futurs. Le choix technique (préfixe URL ou résolution côté serveur) doit être documenté par ADR si structurel.</w:t>
      </w:r>
    </w:p>
    <w:p>
      <w:pPr>
        <w:pStyle w:val="Heading2"/>
        <w:keepNext/>
      </w:pPr>
      <w:r>
        <w:t>53. Gouvernance de la source de vérité</w:t>
      </w:r>
    </w:p>
    <w:p>
      <w:r>
        <w:t>Le Livre Produit &amp; Technique courant est la source de vérité stratégique et transverse d’ActiCiv pour la phase MVP/DEV. Le prompt Astra, les tickets, la Knowledge Base, les ADR et les implémentations doivent en dériver. Une décision prise ultérieurement doit mettre à jour la source pertinente et rester clairement traçable.</w:t>
      </w:r>
    </w:p>
    <w:p>
      <w:r>
        <w:t>En cas de divergence entre le code et ce document, la divergence doit être signalée et arbitrée ; elle ne doit pas être silencieusement normalisée par l’agent de développement.</w:t>
      </w:r>
    </w:p>
    <w:p>
      <w:pPr/>
      <w:r>
        <w:t>La Phase 2 bis fait partie du phasage officiel : elle se situe après clôture de Core Data &amp; Security et avant le développement du Citizen Reporting Core.</w:t>
      </w:r>
    </w:p>
    <w:p>
      <w:pPr>
        <w:jc w:val="center"/>
      </w:pPr>
      <w:r>
        <w:t>ActiCiv — Livre Produit &amp; Technique — v1.4 référence exhaustive corrigée pour lancement Phase 2 bis — 17 septembre 2026</w:t>
      </w:r>
    </w:p>
    <w:p>
      <w:r>
        <w:br w:type="page"/>
      </w:r>
    </w:p>
    <w:p>
      <w:pPr>
        <w:pStyle w:val="Heading1"/>
      </w:pPr>
      <w:r>
        <w:t>Partie H — Engineering Quality, Security, Knowledge &amp; AI Governance</w:t>
      </w:r>
    </w:p>
    <w:p>
      <w:pPr>
        <w:pStyle w:val="Heading2"/>
      </w:pPr>
      <w:r>
        <w:t>54. TDD et méthode de développement test-first</w:t>
      </w:r>
    </w:p>
    <w:p>
      <w:pPr/>
      <w:r>
        <w:t>Décision verrouillée : toute règle métier, sécurité, permissions, concurrence ou invariant non trivial doit être développée avec une approche test-first pragmatique.</w:t>
      </w:r>
    </w:p>
    <w:p>
      <w:pPr>
        <w:pStyle w:val="ListBullet"/>
      </w:pPr>
      <w:r>
        <w:t>Cycle attendu : comprendre l’exigence et ses critères d’acceptation → écrire le test qui échoue → implémenter le minimum nécessaire → faire passer le test → refactorer sans changer le comportement → exécuter les gates adaptées.</w:t>
      </w:r>
    </w:p>
    <w:p>
      <w:pPr>
        <w:pStyle w:val="ListBullet"/>
      </w:pPr>
      <w:r>
        <w:t>Les tests vérifient le comportement observable et les invariants, pas les détails internes d’implémentation ni le nombre d’appels d’une fonction privée.</w:t>
      </w:r>
    </w:p>
    <w:p>
      <w:pPr>
        <w:pStyle w:val="ListBullet"/>
      </w:pPr>
      <w:r>
        <w:t>Pour un bug reproductible, écrire d’abord un test de non-régression qui échoue sur la version défectueuse lorsque cela est raisonnablement possible ; toute exception doit être justifiée dans la PR/postmortem.</w:t>
      </w:r>
    </w:p>
    <w:p>
      <w:pPr>
        <w:pStyle w:val="ListBullet"/>
      </w:pPr>
      <w:r>
        <w:t>Le TDD strict n’est pas imposé aux changements purement visuels, au contenu documentaire ou à la plomberie triviale sans logique ; ces changements restent soumis aux validations adaptées.</w:t>
      </w:r>
    </w:p>
    <w:p>
      <w:pPr>
        <w:pStyle w:val="Heading2"/>
      </w:pPr>
      <w:r>
        <w:t>55. Taxonomie et tagging des tests</w:t>
      </w:r>
    </w:p>
    <w:p>
      <w:pPr>
        <w:pStyle w:val="ListBullet"/>
      </w:pPr>
      <w:r>
        <w:t>Chaque test automatisé reçoit une criticité stable : `@critical`, `@high`, `@medium` ou `@low`. La criticité décrit l’impact produit d’un échec, pas l’état temporaire du test.</w:t>
      </w:r>
    </w:p>
    <w:p>
      <w:pPr>
        <w:pStyle w:val="ListBullet"/>
      </w:pPr>
      <w:r>
        <w:t>Les suites/`describe` portent un tag de route fonctionnelle stable, par exemple `@route:auth`, `@route:admin-pro`, `@route:citizen-report`. Une route représente une partie ou un chemin fonctionnel de l’application, pas nécessairement une URL brute.</w:t>
      </w:r>
    </w:p>
    <w:p>
      <w:pPr>
        <w:pStyle w:val="ListBullet"/>
      </w:pPr>
      <w:r>
        <w:t>Les suites/`describe` portent lorsque pertinent un tag de composant/fonctionnalité tel que `@component:forgot-password`, `@component:invitation`, `@component:sla`.</w:t>
      </w:r>
    </w:p>
    <w:p>
      <w:pPr>
        <w:pStyle w:val="ListBullet"/>
      </w:pPr>
      <w:r>
        <w:t>Des tags `@type:security`, `@type:a11y`, `@type:smoke` ou `@type:regression` peuvent être utilisés lorsqu’ils améliorent réellement le ciblage. Ils ne doivent pas devenir obligatoires partout ni remplacer criticité/route/composant.</w:t>
      </w:r>
    </w:p>
    <w:p>
      <w:pPr>
        <w:pStyle w:val="ListBullet"/>
      </w:pPr>
      <w:r>
        <w:t>Interdiction d’utiliser `@broken`, `@todo` ou `@flaky` comme statut permanent. La flakiness vient de la mesure historique, pas d’une étiquette manuelle qui vieillit.</w:t>
      </w:r>
    </w:p>
    <w:p>
      <w:pPr>
        <w:pStyle w:val="ListBullet"/>
      </w:pPr>
      <w:r>
        <w:t>La convention de tags doit être validée automatiquement afin d’éviter tags inconnus, criticité manquante ou nomenclature divergente.</w:t>
      </w:r>
    </w:p>
    <w:p>
      <w:pPr>
        <w:pStyle w:val="Heading2"/>
      </w:pPr>
      <w:r>
        <w:t>56. Couverture de tests et stratégie de mesure</w:t>
      </w:r>
    </w:p>
    <w:p>
      <w:pPr/>
      <w:r>
        <w:t>ActiCiv mesure au minimum statements, branches, functions et lines pour le code TypeScript testable. La couverture globale est complétée par une lecture par module critique.</w:t>
      </w:r>
    </w:p>
    <w:p>
      <w:pPr>
        <w:pStyle w:val="ListBullet"/>
      </w:pPr>
      <w:r>
        <w:t>Les modules sécurité et métier critiques (authorization, auth/invitations, SLA, routing futur, assignments futurs, reports futurs) peuvent avoir des seuils plus élevés que le reste du code.</w:t>
      </w:r>
    </w:p>
    <w:p>
      <w:pPr>
        <w:pStyle w:val="ListBullet"/>
      </w:pPr>
      <w:r>
        <w:t>La couverture de code n’est jamais présentée comme une preuve suffisante de qualité. Elle est complétée par la couverture des rôles, RLS, API/RPC, scénarios E2E critiques, accessibilité et cas de concurrence.</w:t>
      </w:r>
    </w:p>
    <w:p>
      <w:pPr>
        <w:pStyle w:val="ListBullet"/>
      </w:pPr>
      <w:r>
        <w:t>Les seuils numériques sont configurables et versionnés. Les valeurs initiales proposées doivent être calibrées à partir de la baseline réelle et ne doivent pas inciter à écrire des tests artificiels uniquement pour faire monter un pourcentage.</w:t>
      </w:r>
    </w:p>
    <w:p>
      <w:pPr>
        <w:pStyle w:val="ListBullet"/>
      </w:pPr>
      <w:r>
        <w:t>Toute baisse significative par rapport à la baseline précédente doit être remontée même si le seuil absolu reste respecté.</w:t>
      </w:r>
    </w:p>
    <w:p>
      <w:pPr>
        <w:pStyle w:val="Heading2"/>
      </w:pPr>
      <w:r>
        <w:t>57. Rapports QA machine-readable et agrégation</w:t>
      </w:r>
    </w:p>
    <w:p>
      <w:pPr>
        <w:pStyle w:val="ListBullet"/>
      </w:pPr>
      <w:r>
        <w:t>Vitest/coverage, Playwright, pgTAP/SQL, intégration, axe, audit de dépendances, SAST/secret scan/DAST lorsqu’ils existent et builds doivent produire ou être convertis vers des résultats machine-readable.</w:t>
      </w:r>
    </w:p>
    <w:p>
      <w:pPr>
        <w:pStyle w:val="ListBullet"/>
      </w:pPr>
      <w:r>
        <w:t>Un agrégateur QA normalise ces preuves dans un snapshot lié à un `commit_sha`, une branche, un environnement, des timestamps, la version des outils et le run CI.</w:t>
      </w:r>
    </w:p>
    <w:p>
      <w:pPr>
        <w:pStyle w:val="ListBullet"/>
      </w:pPr>
      <w:r>
        <w:t>Le snapshot conserve au minimum les totaux pass/fail/skipped, coverage, durée, résultats de gates, erreurs importantes et liens vers les artefacts détaillés. Les gros rapports restent des artefacts ; la base ne doit pas devenir un stockage de logs bruts illimités.</w:t>
      </w:r>
    </w:p>
    <w:p>
      <w:pPr>
        <w:pStyle w:val="ListBullet"/>
      </w:pPr>
      <w:r>
        <w:t>Le schéma doit accepter de nouvelles métriques sans migration à chaque ajout, tout en conservant un contrat stable et validé.</w:t>
      </w:r>
    </w:p>
    <w:p>
      <w:pPr>
        <w:pStyle w:val="ListBullet"/>
      </w:pPr>
      <w:r>
        <w:t>La source affichée dans le Quality Center est la même que celle utilisée pour décider les promotions ; aucun deuxième calcul divergent côté UI.</w:t>
      </w:r>
    </w:p>
    <w:p>
      <w:pPr>
        <w:pStyle w:val="ListBullet"/>
      </w:pPr>
      <w:r>
        <w:t>Les résultats de test normalisés conservent les tags de criticité, route, composant et type afin de permettre ciblage, agrégation et drill-down cohérents entre CI et Quality Center.</w:t>
      </w:r>
    </w:p>
    <w:p>
      <w:pPr>
        <w:pStyle w:val="Heading2"/>
      </w:pPr>
      <w:r>
        <w:t>58. Quality Baseline, historique et détection de régression</w:t>
      </w:r>
    </w:p>
    <w:p>
      <w:pPr>
        <w:pStyle w:val="ListBullet"/>
      </w:pPr>
      <w:r>
        <w:t>Chaque release PROD validée crée une baseline qualité immutable associée à son SHA/artefact.</w:t>
      </w:r>
    </w:p>
    <w:p>
      <w:pPr>
        <w:pStyle w:val="ListBullet"/>
      </w:pPr>
      <w:r>
        <w:t>Les candidats ultérieurs sont comparés à la baseline PROD et au dernier run pertinent : couverture, volume de tests, failures, flakiness, durée CI, violations a11y, findings sécurité et autres métriques critiques.</w:t>
      </w:r>
    </w:p>
    <w:p>
      <w:pPr>
        <w:pStyle w:val="ListBullet"/>
      </w:pPr>
      <w:r>
        <w:t>Une amélioration ou une régression doit être visible comme delta. Les suppressions de tests ou chutes de couverture inattendues déclenchent un contrôle explicite.</w:t>
      </w:r>
    </w:p>
    <w:p>
      <w:pPr>
        <w:pStyle w:val="ListBullet"/>
      </w:pPr>
      <w:r>
        <w:t>L’historique doit permettre un drill-down depuis une métrique agrégée vers la suite/test/module ou finding concerné lorsque les données sont disponibles.</w:t>
      </w:r>
    </w:p>
    <w:p>
      <w:pPr>
        <w:pStyle w:val="Heading2"/>
      </w:pPr>
      <w:r>
        <w:t>59. Retries, stabilité et flakiness</w:t>
      </w:r>
    </w:p>
    <w:p>
      <w:pPr>
        <w:pStyle w:val="ListBullet"/>
      </w:pPr>
      <w:r>
        <w:t>Les runs officiels servant de preuve à une promotion gardent `retries = 0` sauf décision explicitement documentée pour un cas exceptionnel. Un test instable ne doit pas devenir vert grâce à un retry silencieux.</w:t>
      </w:r>
    </w:p>
    <w:p>
      <w:pPr>
        <w:pStyle w:val="ListBullet"/>
      </w:pPr>
      <w:r>
        <w:t>La détection de flakiness est un job distinct qui répète intentionnellement des tests ou groupes ciblés et calcule un taux de stabilité.</w:t>
      </w:r>
    </w:p>
    <w:p>
      <w:pPr>
        <w:pStyle w:val="ListBullet"/>
      </w:pPr>
      <w:r>
        <w:t>Un éventuel résultat « pass after retry » provenant d’un outil tiers est remonté comme état distinct/flaky, jamais assimilé à un PASS propre.</w:t>
      </w:r>
    </w:p>
    <w:p>
      <w:pPr>
        <w:pStyle w:val="ListBullet"/>
      </w:pPr>
      <w:r>
        <w:t>Le Quality Center suit au minimum le nombre de tests instables, leur taux et leur ancienneté afin d’éviter une dette de flakiness chronique.</w:t>
      </w:r>
    </w:p>
    <w:p>
      <w:pPr>
        <w:pStyle w:val="ListBullet"/>
      </w:pPr>
      <w:r>
        <w:t>Le Quality Center affiche également le nombre de retries/retried tests lorsqu’un outil en produit, tout en distinguant clairement retry, flakiness mesurée et PASS propre.</w:t>
      </w:r>
    </w:p>
    <w:p>
      <w:pPr>
        <w:pStyle w:val="Heading2"/>
      </w:pPr>
      <w:r>
        <w:t>60. Quality Gates DEV → DEMO → PROD</w:t>
      </w:r>
    </w:p>
    <w:p>
      <w:pPr/>
      <w:r>
        <w:t>ActiCiv adopte des Quality Gates explicites, versionnés et configurables. Les gates n’existent pas seulement dans une checklist humaine : les éléments automatisables doivent être exécutables par la CI.</w:t>
      </w:r>
    </w:p>
    <w:p>
      <w:pPr>
        <w:pStyle w:val="ListBullet"/>
      </w:pPr>
      <w:r>
        <w:t>Le gate DEV→DEMO couvre au minimum format, lint, typecheck, unitaires, SQL/RLS, intégration, E2E critiques, build, bundles, accessibilité automatique, dependency audit et critères de couverture applicables.</w:t>
      </w:r>
    </w:p>
    <w:p>
      <w:pPr>
        <w:pStyle w:val="ListBullet"/>
      </w:pPr>
      <w:r>
        <w:t>Le gate DEMO→PROD est plus strict : même artefact/SHA validé en DEMO, régression complète requise, sécurité renforcée, migrations répétées/rehearsal lorsque pertinent, absence de P0/P1 ouverts, validations manuelles obligatoires et readiness opérationnelle.</w:t>
      </w:r>
    </w:p>
    <w:p>
      <w:pPr>
        <w:pStyle w:val="ListBullet"/>
      </w:pPr>
      <w:r>
        <w:t>Un FAIL critique bloque la promotion indépendamment d’un score agrégé. Un score de readiness peut aider à la lecture mais ne peut jamais contourner un blocage dur.</w:t>
      </w:r>
    </w:p>
    <w:p>
      <w:pPr>
        <w:pStyle w:val="ListBullet"/>
      </w:pPr>
      <w:r>
        <w:t>Les exceptions de gate doivent être exceptionnelles, nominatives, datées, justifiées, approuvées et expirer ; elles sont auditables.</w:t>
      </w:r>
    </w:p>
    <w:p>
      <w:pPr>
        <w:pStyle w:val="Heading2"/>
      </w:pPr>
      <w:r>
        <w:t>61. Promotion par SHA et artefact immuable</w:t>
      </w:r>
    </w:p>
    <w:p>
      <w:pPr>
        <w:pStyle w:val="ListBullet"/>
      </w:pPr>
      <w:r>
        <w:t>On promeut un artefact validé, pas une branche mouvante : DEV, DEMO et PROD doivent pouvoir référencer exactement le même SHA et le même artefact lorsque aucune modification n’a été faite.</w:t>
      </w:r>
    </w:p>
    <w:p>
      <w:pPr>
        <w:pStyle w:val="ListBullet"/>
      </w:pPr>
      <w:r>
        <w:t>Toute modification du code, des migrations, des dépendances, de la configuration livrée ou des documents faisant partie du package après validation invalide le candidat et impose une nouvelle validation.</w:t>
      </w:r>
    </w:p>
    <w:p>
      <w:pPr>
        <w:pStyle w:val="ListBullet"/>
      </w:pPr>
      <w:r>
        <w:t>Les preuves de gate enregistrent SHA, run CI, versions runtime/outils et origine de l’artefact. La promotion ne doit pas reconstruire silencieusement un artefact différent si l’architecture de déploiement permet de réutiliser celui déjà validé.</w:t>
      </w:r>
    </w:p>
    <w:p>
      <w:pPr>
        <w:pStyle w:val="Heading2"/>
      </w:pPr>
      <w:r>
        <w:t>62. Security Assurance et tests cyber</w:t>
      </w:r>
    </w:p>
    <w:p>
      <w:pPr>
        <w:pStyle w:val="ListBullet"/>
      </w:pPr>
      <w:r>
        <w:t>La sécurité est une dimension continue de la qualité, pas un contrôle ponctuel de fin de projet.</w:t>
      </w:r>
    </w:p>
    <w:p>
      <w:pPr>
        <w:pStyle w:val="ListBullet"/>
      </w:pPr>
      <w:r>
        <w:t>La chaîne automatique doit intégrer progressivement SAST, audit de dépendances, secret scanning, contrôles de configuration, tests Auth/RBAC/RLS, sécurité des bundles et DAST sur environnement adapté.</w:t>
      </w:r>
    </w:p>
    <w:p>
      <w:pPr>
        <w:pStyle w:val="ListBullet"/>
      </w:pPr>
      <w:r>
        <w:t>Les scénarios ciblés ActiCiv incluent au minimum isolation tenant, IDOR, élévation de privilèges, falsification d’organization_id, bypass RLS, JWT/session, invitation/reset, redirects/callbacks, injections, XSS, CSRF et SSRF lorsqu’ils sont pertinents à la surface exposée.</w:t>
      </w:r>
    </w:p>
    <w:p>
      <w:pPr>
        <w:pStyle w:val="ListBullet"/>
      </w:pPr>
      <w:r>
        <w:t>Un pentest humain indépendant est requis avant la première vraie mise en production ou pilote significatif exposé à de vraies données/utilisateurs. Les findings critiques/high corrigés doivent être retestés.</w:t>
      </w:r>
    </w:p>
    <w:p>
      <w:pPr>
        <w:pStyle w:val="ListBullet"/>
      </w:pPr>
      <w:r>
        <w:t>La revue cyber couvre également CI/CD, permissions GitHub, supply-chain, gestion/rotation des secrets, sauvegarde/restauration, chiffrement, rétention, observabilité, incident response et configurations Supabase/Vercel.</w:t>
      </w:r>
    </w:p>
    <w:p>
      <w:pPr>
        <w:pStyle w:val="ListBullet"/>
      </w:pPr>
      <w:r>
        <w:t>Pour PROD : zéro vulnérabilité critique ouverte ; aucune vulnérabilité high non explicitement acceptée avec propriétaire, justification et échéance. Les exigences peuvent être renforcées ultérieurement.</w:t>
      </w:r>
    </w:p>
    <w:p>
      <w:pPr>
        <w:pStyle w:val="Heading2"/>
      </w:pPr>
      <w:r>
        <w:t>63. Dette sécurité et preuve de pentest</w:t>
      </w:r>
    </w:p>
    <w:p>
      <w:pPr>
        <w:pStyle w:val="ListBullet"/>
      </w:pPr>
      <w:r>
        <w:t>Les findings sécurité sont suivis avec sévérité, statut, première détection, dernière observation, propriétaire, échéance, source, preuve de correction et retest.</w:t>
      </w:r>
    </w:p>
    <w:p>
      <w:pPr>
        <w:pStyle w:val="ListBullet"/>
      </w:pPr>
      <w:r>
        <w:t>Le Quality Center affiche au minimum critical/high/medium, âge du finding, dernier scan et statut du dernier pentest/retest sans exposer publiquement des détails exploitables.</w:t>
      </w:r>
    </w:p>
    <w:p>
      <w:pPr>
        <w:pStyle w:val="ListBullet"/>
      </w:pPr>
      <w:r>
        <w:t>Un rapport de scanner automatique n’est jamais qualifié de pentest humain. La nature de la preuve doit être explicite.</w:t>
      </w:r>
    </w:p>
    <w:p>
      <w:pPr>
        <w:pStyle w:val="Heading2"/>
      </w:pPr>
      <w:r>
        <w:t>64. Observabilité : Analytics, Audit et Logs</w:t>
      </w:r>
    </w:p>
    <w:p>
      <w:pPr/>
      <w:r>
        <w:t>ActiCiv sépare trois flux officiels : Analytics = usage produit agrégé/minimisé ; Audit = preuve métier/sécurité ; Logs = diagnostic technique.</w:t>
      </w:r>
    </w:p>
    <w:p>
      <w:pPr>
        <w:pStyle w:val="ListBullet"/>
      </w:pPr>
      <w:r>
        <w:t>Analytics ne remplace jamais Audit. Audit ne remplace jamais Logs. Les Logs ne constituent jamais la source de vérité métier.</w:t>
      </w:r>
    </w:p>
    <w:p>
      <w:pPr>
        <w:pStyle w:val="ListBullet"/>
      </w:pPr>
      <w:r>
        <w:t>Les trois flux peuvent partager un `correlation_id` commun pour permettre une investigation transverse, sans fusionner leurs modèles de données ni leurs politiques de rétention.</w:t>
      </w:r>
    </w:p>
    <w:p>
      <w:pPr>
        <w:pStyle w:val="ListBullet"/>
      </w:pPr>
      <w:r>
        <w:t>Le code utilise des interfaces/adaptateurs distincts (`analytics.track`, `audit.record` ou mécanisme transactionnel équivalent, `logger.*`) et évite les appels provider dispersés dans le domaine.</w:t>
      </w:r>
    </w:p>
    <w:p>
      <w:pPr>
        <w:pStyle w:val="Heading2"/>
      </w:pPr>
      <w:r>
        <w:t>65. Analytics produit — taxonomie et privacy by design</w:t>
      </w:r>
    </w:p>
    <w:p>
      <w:pPr>
        <w:pStyle w:val="ListBullet"/>
      </w:pPr>
      <w:r>
        <w:t>Les événements analytics suivent une taxonomie stable du type `&lt;surface&gt;_&lt;domain&gt;_&lt;action&gt;` : `citizen_report_started`, `pro_auth_login_succeeded`, `admin_sla_published`.</w:t>
      </w:r>
    </w:p>
    <w:p>
      <w:pPr>
        <w:pStyle w:val="ListBullet"/>
      </w:pPr>
      <w:r>
        <w:t>Les propriétés sont documentées dans un catalogue d’événements. Elles utilisent des codes métier stables et jamais des labels traduits comme identifiants.</w:t>
      </w:r>
    </w:p>
    <w:p>
      <w:pPr>
        <w:pStyle w:val="ListBullet"/>
      </w:pPr>
      <w:r>
        <w:t>Par défaut, ne jamais envoyer à l’analytics : email, plaque, texte libre, token de suivi, secret, identifiant sensible brut, photographie, coordonnées GPS précises ou contenu métier confidentiel.</w:t>
      </w:r>
    </w:p>
    <w:p>
      <w:pPr>
        <w:pStyle w:val="ListBullet"/>
      </w:pPr>
      <w:r>
        <w:t>La géographie analytics utilise une granularité agrégée/territoire lorsqu’elle est réellement nécessaire. Le consentement et la conformité réglementaire sont traités selon le contexte de déploiement avant PROD.</w:t>
      </w:r>
    </w:p>
    <w:p>
      <w:pPr>
        <w:pStyle w:val="ListBullet"/>
      </w:pPr>
      <w:r>
        <w:t>Google/GA4 peut être un adaptateur, jamais une dépendance métier : aucun `gtag()` dispersé dans les composants.</w:t>
      </w:r>
    </w:p>
    <w:p>
      <w:pPr>
        <w:pStyle w:val="ListBullet"/>
      </w:pPr>
      <w:r>
        <w:t>La taxonomie doit rester compatible avec un futur adaptateur GA4 / Google Tag Manager sans coupler le domaine ou les composants UI directement à ces fournisseurs.</w:t>
      </w:r>
    </w:p>
    <w:p>
      <w:pPr>
        <w:pStyle w:val="Heading2"/>
      </w:pPr>
      <w:r>
        <w:t>66. Logs techniques structurés</w:t>
      </w:r>
    </w:p>
    <w:p>
      <w:pPr>
        <w:pStyle w:val="ListBullet"/>
      </w:pPr>
      <w:r>
        <w:t>Les logs utilisent des niveaux explicites (`debug`, `info`, `warn`, `error`) et une structure machine-readable avec environnement, module, opération, correlation_id et contexte technique minimal.</w:t>
      </w:r>
    </w:p>
    <w:p>
      <w:pPr>
        <w:pStyle w:val="ListBullet"/>
      </w:pPr>
      <w:r>
        <w:t>Pas de secrets, tokens, mots de passe, emails ou données personnelles inutiles dans les logs. Les payloads entiers de requête/réponse ne sont pas journalisés par défaut.</w:t>
      </w:r>
    </w:p>
    <w:p>
      <w:pPr>
        <w:pStyle w:val="ListBullet"/>
      </w:pPr>
      <w:r>
        <w:t>Les exceptions et appels externes doivent être diagnostiquables sans transformer les logs en audit métier. Les politiques de rétention et d’accès sont adaptées à l’environnement.</w:t>
      </w:r>
    </w:p>
    <w:p>
      <w:pPr>
        <w:pStyle w:val="Heading2"/>
      </w:pPr>
      <w:r>
        <w:t>67. Quality Center du Super Admin</w:t>
      </w:r>
    </w:p>
    <w:p>
      <w:pPr>
        <w:pStyle w:val="ListBullet"/>
      </w:pPr>
      <w:r>
        <w:t>Le Super Admin doit disposer d’un Quality Center en lecture seule, protégé par une capacité plateforme explicite telle que `quality.read` ou équivalent validé.</w:t>
      </w:r>
    </w:p>
    <w:p>
      <w:pPr>
        <w:pStyle w:val="ListBullet"/>
      </w:pPr>
      <w:r>
        <w:t>Le Quality Center présente : dernier SHA/run/environnement, états des suites, passed/failed/skipped, coverage, E2E critiques, flakiness, accessibilité, findings sécurité, durée CI, résultats des Quality Gates, baseline PROD et raisons de blocage.</w:t>
      </w:r>
    </w:p>
    <w:p>
      <w:pPr>
        <w:pStyle w:val="ListBullet"/>
      </w:pPr>
      <w:r>
        <w:t>Les cartes et graphiques offrent un drill-down vers les suites/tests/modules/findings et liens CI/artefacts lorsque disponibles.</w:t>
      </w:r>
    </w:p>
    <w:p>
      <w:pPr>
        <w:pStyle w:val="ListBullet"/>
      </w:pPr>
      <w:r>
        <w:t>La Phase 2 bis doit au minimum poser le modèle, l’ingestion et une première page read-only fonctionnelle prouvant la chaîne de bout en bout. Le dashboard riche final peut évoluer plus tard avec les autres surfaces Super Admin.</w:t>
      </w:r>
    </w:p>
    <w:p>
      <w:pPr>
        <w:pStyle w:val="ListBullet"/>
      </w:pPr>
      <w:r>
        <w:t>Le Quality Center ne lance pas les tests et ne recalcule pas leurs résultats : il consomme les mêmes snapshots/preuves que les gates.</w:t>
      </w:r>
    </w:p>
    <w:p>
      <w:pPr>
        <w:pStyle w:val="ListBullet"/>
      </w:pPr>
      <w:r>
        <w:t>Les vues doivent être filtrables ou regroupables par criticité, route et composant lorsque les métadonnées de test existent.</w:t>
      </w:r>
    </w:p>
    <w:p>
      <w:pPr>
        <w:pStyle w:val="Heading2"/>
      </w:pPr>
      <w:r>
        <w:t>68. Knowledge Base métier — Documentation as Code</w:t>
      </w:r>
    </w:p>
    <w:p>
      <w:pPr/>
      <w:r>
        <w:t>Tout comportement métier durable doit être consigné dans une Knowledge Base versionnée avec le code, en Markdown structuré et optimisé pour humains et IA.</w:t>
      </w:r>
    </w:p>
    <w:p>
      <w:pPr>
        <w:pStyle w:val="ListBullet"/>
      </w:pPr>
      <w:r>
        <w:t>Une fiche de fonctionnalité contient au minimum : objectif, acteurs, droits d’accès, préconditions, flux nominal, variantes, erreurs, cas limites, données/statuts, effets de bord, audit, analytics, logs, sécurité, accessibilité, i18n, tests, ADR liées, code associé, questions ouvertes et historique pertinent.</w:t>
      </w:r>
    </w:p>
    <w:p>
      <w:pPr>
        <w:pStyle w:val="ListBullet"/>
      </w:pPr>
      <w:r>
        <w:t>Les fiches utilisent des identifiants stables et un frontmatter machine-readable (`id`, `domain`, `type`, `status`, `roles`, `related_adrs`, `related_tests`, etc.) afin de faciliter la recherche et la récupération contextuelle par une IA.</w:t>
      </w:r>
    </w:p>
    <w:p>
      <w:pPr>
        <w:pStyle w:val="ListBullet"/>
      </w:pPr>
      <w:r>
        <w:t>Une modification de comportement, droit, contrat API, audit ou règle métier exige la mise à jour de la fiche correspondante dans la même PR. Une divergence code/KB doit être signalée, jamais normalisée silencieusement.</w:t>
      </w:r>
    </w:p>
    <w:p>
      <w:pPr>
        <w:pStyle w:val="Heading2"/>
      </w:pPr>
      <w:r>
        <w:t>69. Documentation technique et traçabilité</w:t>
      </w:r>
    </w:p>
    <w:p>
      <w:pPr>
        <w:pStyle w:val="ListBullet"/>
      </w:pPr>
      <w:r>
        <w:t>La documentation technique est séparée de la KB métier et couvre architecture, modules, DB, migrations, RLS, Auth, PostGIS, SLA, testing, security, observability, i18n, CI/CD et conventions engineering.</w:t>
      </w:r>
    </w:p>
    <w:p>
      <w:pPr>
        <w:pStyle w:val="ListBullet"/>
      </w:pPr>
      <w:r>
        <w:t>Pour chaque fonctionnalité importante, la traçabilité cible est bidirectionnelle : requirement ↔ KB ↔ permissions ↔ code ↔ tests ↔ audit/analytics/logs ↔ ADR.</w:t>
      </w:r>
    </w:p>
    <w:p>
      <w:pPr>
        <w:pStyle w:val="ListBullet"/>
      </w:pPr>
      <w:r>
        <w:t>Une IA ou un développeur qui modifie une fonctionnalité doit pouvoir identifier rapidement les artefacts impactés avant d’écrire du code.</w:t>
      </w:r>
    </w:p>
    <w:p>
      <w:pPr>
        <w:pStyle w:val="ListBullet"/>
      </w:pPr>
      <w:r>
        <w:t>Les gros PDF/livres restent des références stratégiques, mais les informations vivantes et détaillées sont découpées en fichiers Markdown ciblés pour la recherche.</w:t>
      </w:r>
    </w:p>
    <w:p>
      <w:pPr>
        <w:pStyle w:val="Heading2"/>
      </w:pPr>
      <w:r>
        <w:t>70. ADR — gouvernance des décisions techniques</w:t>
      </w:r>
    </w:p>
    <w:p>
      <w:pPr>
        <w:pStyle w:val="ListBullet"/>
      </w:pPr>
      <w:r>
        <w:t>Toute décision architecturale ou technologique structurante possède une ADR : contexte, décision, alternatives, conséquences, impacts sécurité/tests/migration et liens vers KB/code.</w:t>
      </w:r>
    </w:p>
    <w:p>
      <w:pPr>
        <w:pStyle w:val="ListBullet"/>
      </w:pPr>
      <w:r>
        <w:t>Pas d’ADR pour les choix triviaux. Une ADR acceptée n’est pas réécrite pour masquer l’histoire ; une nouvelle ADR la supersède explicitement si la décision change.</w:t>
      </w:r>
    </w:p>
    <w:p>
      <w:pPr>
        <w:pStyle w:val="ListBullet"/>
      </w:pPr>
      <w:r>
        <w:t>Les décisions déjà prises sur monolithe modulaire, hexagonal pragmatique, tenancy/RLS, PostGIS, SLA versionnés, audit, POM, i18n, Quality Gates, observabilité et gouvernance documentaire doivent être représentées par des ADR ou références structurantes cohérentes.</w:t>
      </w:r>
    </w:p>
    <w:p>
      <w:pPr>
        <w:pStyle w:val="Heading2"/>
      </w:pPr>
      <w:r>
        <w:t>71. Rules persistantes pour développeurs et agents IA</w:t>
      </w:r>
    </w:p>
    <w:p>
      <w:pPr>
        <w:pStyle w:val="ListBullet"/>
      </w:pPr>
      <w:r>
        <w:t>Le repo expose des règles persistantes adaptées aux outils utilisés. Pour Codex, un `AGENTS.md` racine constitue l’entrée principale ; des règles plus spécifiques peuvent exister plus bas uniquement lorsqu’un sous-arbre a réellement des contraintes différentes.</w:t>
      </w:r>
    </w:p>
    <w:p>
      <w:pPr>
        <w:pStyle w:val="ListBullet"/>
      </w:pPr>
      <w:r>
        <w:t>Les règles rappellent les invariants non négociables : phases, TDD critique, non-régression, architecture, RLS, i18n, POM/tags, observabilité séparée, documentation, ADR, Quality Gates, dépendances et preuves de clôture.</w:t>
      </w:r>
    </w:p>
    <w:p>
      <w:pPr>
        <w:pStyle w:val="ListBullet"/>
      </w:pPr>
      <w:r>
        <w:t>En cas de contradiction code/KB/ADR/règle, l’agent doit arrêter la modification concernée, exposer la contradiction et demander arbitrage au lieu d’inventer une nouvelle règle métier.</w:t>
      </w:r>
    </w:p>
    <w:p>
      <w:pPr>
        <w:pStyle w:val="ListBullet"/>
      </w:pPr>
      <w:r>
        <w:t>Les règles doivent rester concises et stables ; les procédures longues appartiennent aux Skills afin d’éviter un AGENTS.md illisible.</w:t>
      </w:r>
    </w:p>
    <w:p>
      <w:pPr>
        <w:pStyle w:val="Heading2"/>
      </w:pPr>
      <w:r>
        <w:t>72. Skills réutilisables</w:t>
      </w:r>
    </w:p>
    <w:p>
      <w:pPr>
        <w:pStyle w:val="ListBullet"/>
      </w:pPr>
      <w:r>
        <w:t>ActiCiv maintient un petit catalogue de Skills orientés workflow, chacun documentant objectif, déclencheurs, entrées, étapes, sorties et checks finaux. Ils sont versionnés avec le repo ou par le mécanisme de Skills approuvé.</w:t>
      </w:r>
    </w:p>
    <w:p>
      <w:pPr>
        <w:pStyle w:val="ListBullet"/>
      </w:pPr>
      <w:r>
        <w:t>Catalogue initial attendu : `implement-feature`, `change-existing-feature`, `fix-bug`, `add-business-rule`, `add-e2e-test`, `add-rbac-rule`, `database-migration`, `add-analytics-event`, `add-audit-event`, `add-logging`, `i18n`, `create-adr`, `update-kb`, `security-review`, `prepare-release`.</w:t>
      </w:r>
    </w:p>
    <w:p>
      <w:pPr>
        <w:pStyle w:val="ListBullet"/>
      </w:pPr>
      <w:r>
        <w:t>Le Skill `change-existing-feature` commence par une impact map : règles métier, rôles, DB/RLS, API, UI, E2E, analytics, audit, logs, documentation et ADR.</w:t>
      </w:r>
    </w:p>
    <w:p>
      <w:pPr>
        <w:pStyle w:val="ListBullet"/>
      </w:pPr>
      <w:r>
        <w:t>Le Skill `fix-bug` impose reproduction, test de non-régression, correction minimale, rerun ciblé puis gates adaptées.</w:t>
      </w:r>
    </w:p>
    <w:p>
      <w:pPr>
        <w:pStyle w:val="ListBullet"/>
      </w:pPr>
      <w:r>
        <w:t>Le Skill `prepare-release` ne peut déclarer prêt qu’avec les preuves réelles des gates et le SHA/artefact exact.</w:t>
      </w:r>
    </w:p>
    <w:p>
      <w:pPr>
        <w:pStyle w:val="Heading2"/>
      </w:pPr>
      <w:r>
        <w:t>73. Definition of Done et gouvernance PR</w:t>
      </w:r>
    </w:p>
    <w:p>
      <w:pPr>
        <w:pStyle w:val="ListBullet"/>
      </w:pPr>
      <w:r>
        <w:t>Une fonctionnalité n’est DONE que si les éléments pertinents sont satisfaits : code, tests, TDD si applicable, coverage, sécurité, a11y, i18n, analytics/audit/logs si pertinents, KB, ADR si nécessaire, et Quality Gates.</w:t>
      </w:r>
    </w:p>
    <w:p>
      <w:pPr>
        <w:pStyle w:val="ListBullet"/>
      </w:pPr>
      <w:r>
        <w:t>La PR indique explicitement critères d’acceptation, tests ajoutés/modifiés, impact coverage, impact sécurité/RLS, impact a11y/i18n, événements observabilité, documentation/ADR et éventuelles exceptions justifiées.</w:t>
      </w:r>
    </w:p>
    <w:p>
      <w:pPr>
        <w:pStyle w:val="ListBullet"/>
      </w:pPr>
      <w:r>
        <w:t>Il est interdit d’affaiblir, supprimer ou skipper un test valide pour faire passer la CI. Une exception temporaire doit être visible, datée et suivie comme dette.</w:t>
      </w:r>
    </w:p>
    <w:p>
      <w:pPr>
        <w:pStyle w:val="Heading2"/>
      </w:pPr>
      <w:r>
        <w:t>74. Phase 2 bis — périmètre consolidé</w:t>
      </w:r>
    </w:p>
    <w:p>
      <w:pPr/>
      <w:r>
        <w:t>La Phase 2 bis est désormais officiellement : « Engineering Quality, Internationalisation &amp; Knowledge Foundations ». Elle n’ajoute pas de nouveau workflow métier citoyen/opérationnel.</w:t>
      </w:r>
    </w:p>
    <w:p>
      <w:pPr>
        <w:pStyle w:val="ListBullet"/>
      </w:pPr>
      <w:r>
        <w:t>Elle installe avant Phase 3 les fondations POM/tagging, TDD, i18n, coverage/reporting, Quality Gates, Security Assurance, observabilité, Quality Center minimal, Knowledge Base, ADR, Rules/Skills et Definition of Done.</w:t>
      </w:r>
    </w:p>
    <w:p>
      <w:pPr>
        <w:pStyle w:val="ListBullet"/>
      </w:pPr>
      <w:r>
        <w:t>La phase doit rester pragmatique : aucune plateforme interne disproportionnée. Chaque mécanisme doit être utilisé immédiatement ou préparer directement la Phase 3 et les futures promotions.</w:t>
      </w:r>
    </w:p>
    <w:p>
      <w:pPr>
        <w:pStyle w:val="ListBullet"/>
      </w:pPr>
      <w:r>
        <w:t>Exécution contrôlée : la Phase 2 bis reste une seule phase, mais sa réalisation est découpée en checkpoints internes 2bis-A à 2bis-I. Le lancement autorise d’abord 2bis-A (baseline documentaire et gouvernance) ; les checkpoints suivants ne sont engagés qu’après validation explicite de Patrick lorsque celle-ci est demandée. Ce découpage ne crée aucune nouvelle phase produit.</w:t>
      </w:r>
    </w:p>
    <w:p>
      <w:pPr>
        <w:pStyle w:val="Heading2"/>
      </w:pPr>
      <w:r>
        <w:t>75. Définition finale de la source de vérité v1.4 et baseline de lancement</w:t>
      </w:r>
    </w:p>
    <w:p>
      <w:pPr/>
      <w:r>
        <w:t>Le présent Livre Produit &amp; Technique v1.4 est la source de vérité transverse courante d’ActiCiv pour le MVP/DEV. La baseline de lancement de la Phase 2 bis est le SHA Phase 2 `fac0fc8663d1f32b09b720fddffd46f0829c8a6a`. Les règles métier détaillées vivent dans la KB métier ; la technique vivante dans la documentation technique ; les décisions structurantes dans les ADR ; les preuves dans les tests, rapports de Quality Gates et attestations de release.</w:t>
      </w:r>
    </w:p>
    <w:p>
      <w:pPr>
        <w:pStyle w:val="ListBullet"/>
      </w:pPr>
      <w:r>
        <w:t>Le Master Prompt Phase 2 bis v1.2 dérive de cette version et ne peut en réduire les exigences. Le postmortem Phase 2 reste une preuve historique immuable ; l’attestation finale de clôture le complète sans le réécrire. Toute décision ultérieure doit être tracée dans la source appropriée et, si elle change un principe transverse, reflétée dans une nouvelle version du livre.</w:t>
      </w:r>
    </w:p>
    <w:p>
      <w:pPr>
        <w:pStyle w:val="ListBullet"/>
      </w:pPr>
      <w:r>
        <w:t>En cas de divergence, ne jamais choisir silencieusement le code ou la documentation : signaler, arbitrer, mettre à jour les sources puis seulement modifier le comportement.</w:t>
      </w:r>
    </w:p>
    <w:p>
      <w:pPr>
        <w:pStyle w:val="ListBullet"/>
      </w:pPr>
      <w:r>
        <w:t>ActiCiv — Livre Produit &amp; Technique — v1.4 référence exhaustive corrigée pour lancement Phase 2 bis — 17 septembre 2026</w:t>
      </w:r>
    </w:p>
    <w:p>
      <w:pPr>
        <w:pStyle w:val="Heading2"/>
      </w:pPr>
      <w:r>
        <w:t>76. Matrice des piliers Phase 2 bis</w:t>
      </w:r>
    </w:p>
    <w:tbl>
      <w:tblPr>
        <w:tblStyle w:val="TableGrid"/>
        <w:tblW w:type="auto" w:w="0"/>
        <w:tblLook w:firstColumn="1" w:firstRow="1" w:lastColumn="0" w:lastRow="0" w:noHBand="0" w:noVBand="1" w:val="04A0"/>
      </w:tblPr>
      <w:tblGrid>
        <w:gridCol w:w="3277"/>
        <w:gridCol w:w="3277"/>
        <w:gridCol w:w="3277"/>
      </w:tblGrid>
      <w:tr>
        <w:tc>
          <w:tcPr>
            <w:tcW w:type="dxa" w:w="3277"/>
          </w:tcPr>
          <w:p>
            <w:r>
              <w:t>Pilier</w:t>
            </w:r>
          </w:p>
        </w:tc>
        <w:tc>
          <w:tcPr>
            <w:tcW w:type="dxa" w:w="3277"/>
          </w:tcPr>
          <w:p>
            <w:r>
              <w:t>Livrable minimum</w:t>
            </w:r>
          </w:p>
        </w:tc>
        <w:tc>
          <w:tcPr>
            <w:tcW w:type="dxa" w:w="3277"/>
          </w:tcPr>
          <w:p>
            <w:r>
              <w:t>Preuve attendue</w:t>
            </w:r>
          </w:p>
        </w:tc>
      </w:tr>
      <w:tr>
        <w:tc>
          <w:tcPr>
            <w:tcW w:type="dxa" w:w="3277"/>
          </w:tcPr>
          <w:p>
            <w:r>
              <w:t>POM &amp; tagging</w:t>
            </w:r>
          </w:p>
        </w:tc>
        <w:tc>
          <w:tcPr>
            <w:tcW w:type="dxa" w:w="3277"/>
          </w:tcPr>
          <w:p>
            <w:r>
              <w:t>POM/Component Objects + convention tags</w:t>
            </w:r>
          </w:p>
        </w:tc>
        <w:tc>
          <w:tcPr>
            <w:tcW w:type="dxa" w:w="3277"/>
          </w:tcPr>
          <w:p>
            <w:r>
              <w:t>E2E lisibles, sélection par tags, aucun test perdu</w:t>
            </w:r>
          </w:p>
        </w:tc>
      </w:tr>
      <w:tr>
        <w:tc>
          <w:tcPr>
            <w:tcW w:type="dxa" w:w="3277"/>
          </w:tcPr>
          <w:p>
            <w:r>
              <w:t>TDD</w:t>
            </w:r>
          </w:p>
        </w:tc>
        <w:tc>
          <w:tcPr>
            <w:tcW w:type="dxa" w:w="3277"/>
          </w:tcPr>
          <w:p>
            <w:r>
              <w:t>Workflow test-first + règles PR</w:t>
            </w:r>
          </w:p>
        </w:tc>
        <w:tc>
          <w:tcPr>
            <w:tcW w:type="dxa" w:w="3277"/>
          </w:tcPr>
          <w:p>
            <w:r>
              <w:t>Tests démontrant Red/Green sur logique critique et non-régressions</w:t>
            </w:r>
          </w:p>
        </w:tc>
      </w:tr>
      <w:tr>
        <w:tc>
          <w:tcPr>
            <w:tcW w:type="dxa" w:w="3277"/>
          </w:tcPr>
          <w:p>
            <w:r>
              <w:t>i18n</w:t>
            </w:r>
          </w:p>
        </w:tc>
        <w:tc>
          <w:tcPr>
            <w:tcW w:type="dxa" w:w="3277"/>
          </w:tcPr>
          <w:p>
            <w:r>
              <w:t>fr-FR/en-GB, résolution/persistance</w:t>
            </w:r>
          </w:p>
        </w:tc>
        <w:tc>
          <w:tcPr>
            <w:tcW w:type="dxa" w:w="3277"/>
          </w:tcPr>
          <w:p>
            <w:r>
              <w:t>Unit/integration/E2E locale + a11y</w:t>
            </w:r>
          </w:p>
        </w:tc>
      </w:tr>
      <w:tr>
        <w:tc>
          <w:tcPr>
            <w:tcW w:type="dxa" w:w="3277"/>
          </w:tcPr>
          <w:p>
            <w:r>
              <w:t>Coverage</w:t>
            </w:r>
          </w:p>
        </w:tc>
        <w:tc>
          <w:tcPr>
            <w:tcW w:type="dxa" w:w="3277"/>
          </w:tcPr>
          <w:p>
            <w:r>
              <w:t>Rapports globaux et modules critiques</w:t>
            </w:r>
          </w:p>
        </w:tc>
        <w:tc>
          <w:tcPr>
            <w:tcW w:type="dxa" w:w="3277"/>
          </w:tcPr>
          <w:p>
            <w:r>
              <w:t>Artifacts coverage + thresholds/deltas</w:t>
            </w:r>
          </w:p>
        </w:tc>
      </w:tr>
      <w:tr>
        <w:tc>
          <w:tcPr>
            <w:tcW w:type="dxa" w:w="3277"/>
          </w:tcPr>
          <w:p>
            <w:r>
              <w:t>Quality Gates</w:t>
            </w:r>
          </w:p>
        </w:tc>
        <w:tc>
          <w:tcPr>
            <w:tcW w:type="dxa" w:w="3277"/>
          </w:tcPr>
          <w:p>
            <w:r>
              <w:t>DEV→DEMO→PROD configurables</w:t>
            </w:r>
          </w:p>
        </w:tc>
        <w:tc>
          <w:tcPr>
            <w:tcW w:type="dxa" w:w="3277"/>
          </w:tcPr>
          <w:p>
            <w:r>
              <w:t>Gate result machine-readable par SHA</w:t>
            </w:r>
          </w:p>
        </w:tc>
      </w:tr>
      <w:tr>
        <w:tc>
          <w:tcPr>
            <w:tcW w:type="dxa" w:w="3277"/>
          </w:tcPr>
          <w:p>
            <w:r>
              <w:t>Security</w:t>
            </w:r>
          </w:p>
        </w:tc>
        <w:tc>
          <w:tcPr>
            <w:tcW w:type="dxa" w:w="3277"/>
          </w:tcPr>
          <w:p>
            <w:r>
              <w:t>SAST/secrets/deps/DAST readiness + pentest policy</w:t>
            </w:r>
          </w:p>
        </w:tc>
        <w:tc>
          <w:tcPr>
            <w:tcW w:type="dxa" w:w="3277"/>
          </w:tcPr>
          <w:p>
            <w:r>
              <w:t>Résultats scans + règles de blocage</w:t>
            </w:r>
          </w:p>
        </w:tc>
      </w:tr>
      <w:tr>
        <w:tc>
          <w:tcPr>
            <w:tcW w:type="dxa" w:w="3277"/>
          </w:tcPr>
          <w:p>
            <w:r>
              <w:t>Observability</w:t>
            </w:r>
          </w:p>
        </w:tc>
        <w:tc>
          <w:tcPr>
            <w:tcW w:type="dxa" w:w="3277"/>
          </w:tcPr>
          <w:p>
            <w:r>
              <w:t>Analytics/Audit/Logs séparés</w:t>
            </w:r>
          </w:p>
        </w:tc>
        <w:tc>
          <w:tcPr>
            <w:tcW w:type="dxa" w:w="3277"/>
          </w:tcPr>
          <w:p>
            <w:r>
              <w:t>Interfaces, taxonomies et correlation_id</w:t>
            </w:r>
          </w:p>
        </w:tc>
      </w:tr>
      <w:tr>
        <w:tc>
          <w:tcPr>
            <w:tcW w:type="dxa" w:w="3277"/>
          </w:tcPr>
          <w:p>
            <w:r>
              <w:t>Quality Center</w:t>
            </w:r>
          </w:p>
        </w:tc>
        <w:tc>
          <w:tcPr>
            <w:tcW w:type="dxa" w:w="3277"/>
          </w:tcPr>
          <w:p>
            <w:r>
              <w:t>Ingestion + page Super Admin read-only</w:t>
            </w:r>
          </w:p>
        </w:tc>
        <w:tc>
          <w:tcPr>
            <w:tcW w:type="dxa" w:w="3277"/>
          </w:tcPr>
          <w:p>
            <w:r>
              <w:t>Snapshot réel visible avec drill-down minimal</w:t>
            </w:r>
          </w:p>
        </w:tc>
      </w:tr>
      <w:tr>
        <w:tc>
          <w:tcPr>
            <w:tcW w:type="dxa" w:w="3277"/>
          </w:tcPr>
          <w:p>
            <w:r>
              <w:t>Knowledge</w:t>
            </w:r>
          </w:p>
        </w:tc>
        <w:tc>
          <w:tcPr>
            <w:tcW w:type="dxa" w:w="3277"/>
          </w:tcPr>
          <w:p>
            <w:r>
              <w:t>KB métier + technique + frontmatter</w:t>
            </w:r>
          </w:p>
        </w:tc>
        <w:tc>
          <w:tcPr>
            <w:tcW w:type="dxa" w:w="3277"/>
          </w:tcPr>
          <w:p>
            <w:r>
              <w:t>Feature docs liées aux droits/tests/code</w:t>
            </w:r>
          </w:p>
        </w:tc>
      </w:tr>
      <w:tr>
        <w:tc>
          <w:tcPr>
            <w:tcW w:type="dxa" w:w="3277"/>
          </w:tcPr>
          <w:p>
            <w:r>
              <w:t>ADR</w:t>
            </w:r>
          </w:p>
        </w:tc>
        <w:tc>
          <w:tcPr>
            <w:tcW w:type="dxa" w:w="3277"/>
          </w:tcPr>
          <w:p>
            <w:r>
              <w:t>Décisions structurantes tracées</w:t>
            </w:r>
          </w:p>
        </w:tc>
        <w:tc>
          <w:tcPr>
            <w:tcW w:type="dxa" w:w="3277"/>
          </w:tcPr>
          <w:p>
            <w:r>
              <w:t>ADRs acceptées/superseded</w:t>
            </w:r>
          </w:p>
        </w:tc>
      </w:tr>
      <w:tr>
        <w:tc>
          <w:tcPr>
            <w:tcW w:type="dxa" w:w="3277"/>
          </w:tcPr>
          <w:p>
            <w:r>
              <w:t>Rules &amp; Skills</w:t>
            </w:r>
          </w:p>
        </w:tc>
        <w:tc>
          <w:tcPr>
            <w:tcW w:type="dxa" w:w="3277"/>
          </w:tcPr>
          <w:p>
            <w:r>
              <w:t>AGENTS.md + 15 Skills initiaux</w:t>
            </w:r>
          </w:p>
        </w:tc>
        <w:tc>
          <w:tcPr>
            <w:tcW w:type="dxa" w:w="3277"/>
          </w:tcPr>
          <w:p>
            <w:r>
              <w:t>Procédures lisibles et utilisables par Codex/dev</w:t>
            </w:r>
          </w:p>
        </w:tc>
      </w:tr>
      <w:tr>
        <w:tc>
          <w:tcPr>
            <w:tcW w:type="dxa" w:w="3277"/>
          </w:tcPr>
          <w:p>
            <w:r>
              <w:t>DoD</w:t>
            </w:r>
          </w:p>
        </w:tc>
        <w:tc>
          <w:tcPr>
            <w:tcW w:type="dxa" w:w="3277"/>
          </w:tcPr>
          <w:p>
            <w:r>
              <w:t>Checklist commune équipe/IA</w:t>
            </w:r>
          </w:p>
        </w:tc>
        <w:tc>
          <w:tcPr>
            <w:tcW w:type="dxa" w:w="3277"/>
          </w:tcPr>
          <w:p>
            <w:r>
              <w:t>PR/release impossible à déclarer DONE sans preuves</w:t>
            </w:r>
          </w:p>
        </w:tc>
      </w:tr>
      <w:tr>
        <w:tc>
          <w:tcPr>
            <w:tcW w:type="dxa" w:w="3277"/>
          </w:tcPr>
          <w:p>
            <w:r>
              <w:t>Executable guardrails</w:t>
            </w:r>
          </w:p>
        </w:tc>
        <w:tc>
          <w:tcPr>
            <w:tcW w:type="dxa" w:w="3277"/>
          </w:tcPr>
          <w:p>
            <w:r>
              <w:t>Règles TS/ESLint/architecture automatisées</w:t>
            </w:r>
          </w:p>
        </w:tc>
        <w:tc>
          <w:tcPr>
            <w:tcW w:type="dxa" w:w="3277"/>
          </w:tcPr>
          <w:p>
            <w:r>
              <w:t>IDE + lint/CI bloquent tags manquants, imports interdits, debug/test.only et providers directs</w:t>
            </w:r>
          </w:p>
        </w:tc>
      </w:tr>
      <w:tr>
        <w:tc>
          <w:tcPr>
            <w:tcW w:type="dxa" w:w="3277"/>
          </w:tcPr>
          <w:p>
            <w:r>
              <w:t>Artifact hygiene</w:t>
            </w:r>
          </w:p>
        </w:tc>
        <w:tc>
          <w:tcPr>
            <w:tcW w:type="dxa" w:w="3277"/>
          </w:tcPr>
          <w:p>
            <w:r>
              <w:t>Scan artefact PROD compilé</w:t>
            </w:r>
          </w:p>
        </w:tc>
        <w:tc>
          <w:tcPr>
            <w:tcW w:type="dxa" w:w="3277"/>
          </w:tcPr>
          <w:p>
            <w:r>
              <w:t>0 artefact test/debug interdit ; bundles/routes/config scannés</w:t>
            </w:r>
          </w:p>
        </w:tc>
      </w:tr>
      <w:tr>
        <w:tc>
          <w:tcPr>
            <w:tcW w:type="dxa" w:w="3277"/>
          </w:tcPr>
          <w:p>
            <w:r>
              <w:t>Performance hygiene</w:t>
            </w:r>
          </w:p>
        </w:tc>
        <w:tc>
          <w:tcPr>
            <w:tcW w:type="dxa" w:w="3277"/>
          </w:tcPr>
          <w:p>
            <w:r>
              <w:t>Budgets et baseline performance configurables</w:t>
            </w:r>
          </w:p>
        </w:tc>
        <w:tc>
          <w:tcPr>
            <w:tcW w:type="dxa" w:w="3277"/>
          </w:tcPr>
          <w:p>
            <w:r>
              <w:t>Bundle/runtime comparés ; régression significative visible/bloquable</w:t>
            </w:r>
          </w:p>
        </w:tc>
      </w:tr>
    </w:tbl>
    <w:p>
      <w:pPr>
        <w:pStyle w:val="Heading2"/>
      </w:pPr>
      <w:r>
        <w:t>77. Conventions exécutables et lint métier</w:t>
      </w:r>
    </w:p>
    <w:p>
      <w:pPr>
        <w:pStyle w:val="ListBullet"/>
      </w:pPr>
      <w:r>
        <w:t>Toute convention importante, objective et vérifiable automatiquement doit devenir un garde-fou exécutable lorsque cela reste simple, maintenable et proportionné au risque, plutôt qu’une simple règle documentaire.</w:t>
      </w:r>
    </w:p>
    <w:p>
      <w:pPr>
        <w:pStyle w:val="ListBullet"/>
      </w:pPr>
      <w:r>
        <w:t>La chaîne de contrôle cible est : Prettier pour le formatage, TypeScript strict pour les contrats de types, ESLint pour les conventions syntaxiques/imports, tests d’architecture/scripts dédiés pour les règles multi-fichiers, puis Quality Gates pour la preuve de livraison.</w:t>
      </w:r>
    </w:p>
    <w:p>
      <w:pPr>
        <w:pStyle w:val="ListBullet"/>
      </w:pPr>
      <w:r>
        <w:t>Les tests Playwright doivent porter exactement un tag de criticité parmi `@critical`, `@high`, `@medium`, `@low`. Les suites/describe doivent porter les tags structurants requis `@route:*` et `@component:*` lorsque cette notion s’applique. L’absence d’un tag obligatoire doit être une erreur automatique.</w:t>
      </w:r>
    </w:p>
    <w:p>
      <w:pPr>
        <w:pStyle w:val="ListBullet"/>
      </w:pPr>
      <w:r>
        <w:t>Les règles automatiques doivent notamment interdire ou contrôler : `test.only`, `describe.only`, skips non justifiés, `waitForTimeout` arbitraire, `console.log/debug/trace` en code production, accès direct à un provider analytics, imports interdits vers Next/Supabase/HTTP depuis le domaine, et usages TypeScript dangereux comme `any` ou `@ts-ignore` hors exception explicitement documentée. `console.warn/error` doivent normalement passer par le logger structuré ; une exception bas niveau n’est admise que si elle est techniquement nécessaire et documentée.</w:t>
      </w:r>
    </w:p>
    <w:p>
      <w:pPr>
        <w:pStyle w:val="ListBullet"/>
      </w:pPr>
      <w:r>
        <w:t>Les règles ActiCiv spécifiques peuvent être implémentées sous forme de plugin/règles ESLint internes ou de scripts de validation lorsque ESLint n’est pas le bon niveau d’abstraction. Le but est un feedback immédiat dans l’IDE, puis un blocage identique en CI.</w:t>
      </w:r>
    </w:p>
    <w:p>
      <w:pPr>
        <w:pStyle w:val="ListBullet"/>
      </w:pPr>
      <w:r>
        <w:t>La sévérité doit rester proportionnée au risque : une règle de sécurité/architecture est bloquante ; une convention cosmétique reste du ressort de Prettier ou d’un warning non bloquant si elle n’affecte ni qualité ni maintenabilité.</w:t>
      </w:r>
    </w:p>
    <w:p>
      <w:pPr>
        <w:pStyle w:val="Heading2"/>
      </w:pPr>
      <w:r>
        <w:t>78. Production Artifact Hygiene</w:t>
      </w:r>
    </w:p>
    <w:p>
      <w:pPr>
        <w:pStyle w:val="ListBullet"/>
      </w:pPr>
      <w:r>
        <w:t>Le code livré en production doit être contrôlé au niveau de l’artefact compilé, pas seulement au niveau des sources.</w:t>
      </w:r>
    </w:p>
    <w:p>
      <w:pPr>
        <w:pStyle w:val="ListBullet"/>
      </w:pPr>
      <w:r>
        <w:t>Tout élément uniquement destiné au test, au debug ou au développement doit être absent du runtime/bundle PROD sauf justification explicite, documentée et approuvée.</w:t>
      </w:r>
    </w:p>
    <w:p>
      <w:pPr>
        <w:pStyle w:val="ListBullet"/>
      </w:pPr>
      <w:r>
        <w:t>Cela couvre notamment : attributs `data-testid`/`data-test`/`data-cy` purement dédiés aux tests, mocks, fixtures, fake users, helpers de tests, dépendances Playwright/Vitest, routes/debug panels de développement, modes mock, bypass de sécurité, traces verbeuses, `console.log/debug/trace`, secrets/identifiants de test et configuration locale. Un hook de test peut rester en PROD uniquement s’il possède un usage de production explicite et revu (par exemple monitoring synthétique contrôlé) et ne révèle aucun état sensible.</w:t>
      </w:r>
    </w:p>
    <w:p>
      <w:pPr>
        <w:pStyle w:val="ListBullet"/>
      </w:pPr>
      <w:r>
        <w:t>Les tests E2E privilégient les locators accessibles (`getByRole`, `getByLabel`, etc.) afin de réduire la dépendance aux attributs de test. Lorsqu’un hook de test est réellement nécessaire, sa présence en PROD doit être explicitement décidée ; par défaut il est supprimé de l’artefact PROD.</w:t>
      </w:r>
    </w:p>
    <w:p>
      <w:pPr>
        <w:pStyle w:val="ListBullet"/>
      </w:pPr>
      <w:r>
        <w:t>Les source maps de production, si nécessaires à l’observabilité, ne doivent pas être publiquement accessibles ; elles peuvent être transmises de façon contrôlée à un provider d’erreurs.</w:t>
      </w:r>
    </w:p>
    <w:p>
      <w:pPr>
        <w:pStyle w:val="ListBullet"/>
      </w:pPr>
      <w:r>
        <w:t>Un gate `production-artifact-check` analyse les bundles, HTML généré, routes, manifests/configurations et dépendances runtime. Toute occurrence interdite bloque la promotion PROD.</w:t>
      </w:r>
    </w:p>
    <w:p>
      <w:pPr>
        <w:pStyle w:val="ListBullet"/>
      </w:pPr>
      <w:r>
        <w:t>La règle de release reste : même SHA + même artefact immuable + mêmes preuves de gates. Une reconstruction différente au moment du déploiement n’est pas considérée équivalente sans nouvelle validation.</w:t>
      </w:r>
    </w:p>
    <w:p>
      <w:pPr>
        <w:pStyle w:val="Heading2"/>
      </w:pPr>
      <w:r>
        <w:t>79. Production Performance Hygiene</w:t>
      </w:r>
    </w:p>
    <w:p>
      <w:pPr>
        <w:pStyle w:val="ListBullet"/>
      </w:pPr>
      <w:r>
        <w:t>La production doit être maigre, rapide et dépourvue de coût inutile. Tout code, dépendance, instrumentation, asset ou comportement non nécessaire qui augmente le poids, la latence, le CPU, la mémoire, les requêtes ou le trafic doit être supprimé, désactivé ou justifié.</w:t>
      </w:r>
    </w:p>
    <w:p>
      <w:pPr>
        <w:pStyle w:val="ListBullet"/>
      </w:pPr>
      <w:r>
        <w:t>Les risques à contrôler incluent : dépendances client lourdes, imports non tree-shakables, polyfills inutiles, code mort, feature flags obsolètes, images/fonts non optimisées, logging excessif, analytics trop bavard, polling inutile, requêtes redondantes ou N+1, payloads surdimensionnés, hydration/client components non nécessaires, calculs coûteux à chaque requête, retries agressifs et préchargements non justifiés.</w:t>
      </w:r>
    </w:p>
    <w:p>
      <w:pPr>
        <w:pStyle w:val="ListBullet"/>
      </w:pPr>
      <w:r>
        <w:t>Des budgets de performance configurables doivent pouvoir couvrir le poids JS/CSS/assets, les plus gros chunks, Web Vitals, latence API/DB, nombre de requêtes et régressions par rapport à la baseline PROD. Les valeurs seuils sont introduites progressivement sur la base de mesures réelles et ne doivent pas être inventées artificiellement en Phase 2 bis.</w:t>
      </w:r>
    </w:p>
    <w:p>
      <w:pPr>
        <w:pStyle w:val="ListBullet"/>
      </w:pPr>
      <w:r>
        <w:t>Toute nouvelle dépendance runtime importante doit justifier son besoin, son emplacement client/serveur, son poids et l’existence ou non d’une alternative plus légère.</w:t>
      </w:r>
    </w:p>
    <w:p>
      <w:pPr>
        <w:pStyle w:val="ListBullet"/>
      </w:pPr>
      <w:r>
        <w:t>Le Quality Center doit à terme exposer les tendances de performance et les écarts à la baseline : taille des bundles, plus gros chunks, Web Vitals, latences p50/p95/p99 lorsque mesurées, temps DB, appels réseau et budgets dépassés.</w:t>
      </w:r>
    </w:p>
    <w:p>
      <w:pPr>
        <w:pStyle w:val="ListBullet"/>
      </w:pPr>
      <w:r>
        <w:t>Les contrôles de performance PROD complètent la qualité fonctionnelle : un build vert mais significativement plus lourd ou lent peut être bloqué par un Quality Gate selon les seuils configurés.</w:t>
      </w:r>
    </w:p>
    <w:p>
      <w:pPr>
        <w:pStyle w:val="Heading2"/>
      </w:pPr>
      <w:r>
        <w:t>80. Principe transversal — rigueur proportionnée et automatisation</w:t>
      </w:r>
    </w:p>
    <w:p>
      <w:pPr>
        <w:pStyle w:val="ListBullet"/>
      </w:pPr>
      <w:r>
        <w:t>ActiCiv recherche une maturité d’ingénierie élevée sans bureaucratie inutile. Les contrôles sont proportionnés au risque et à l’impact du changement.</w:t>
      </w:r>
    </w:p>
    <w:p>
      <w:pPr>
        <w:pStyle w:val="ListBullet"/>
      </w:pPr>
      <w:r>
        <w:t>Une modification CSS locale ne déclenche pas les mêmes obligations qu’une nouvelle règle RLS, un changement d’Auth ou une migration tenant. Les Rules/Skills et la Definition of Done doivent expliciter cette graduation.</w:t>
      </w:r>
    </w:p>
    <w:p>
      <w:pPr>
        <w:pStyle w:val="ListBullet"/>
      </w:pPr>
      <w:r>
        <w:t>Automatiser en priorité les règles importantes, objectives et répétables ; conserver les revues humaines là où le jugement reste essentiel : UX, exploratory testing, architecture, pentest manuel, accessibilité assistive et arbitrages produit.</w:t>
      </w:r>
    </w:p>
    <w:p>
      <w:pPr>
        <w:pStyle w:val="ListBullet"/>
      </w:pPr>
      <w:r>
        <w:t>Une métrique ou un score ne remplace jamais une preuve comportementale. Le Quality Center est un outil d’aide à la décision, non une machine déclarant automatiquement qu’un produit est parfait.</w:t>
      </w:r>
    </w:p>
    <w:p>
      <w:pPr/>
      <w:r>
        <w:t>ActiCiv — Livre Produit &amp; Technique — v1.4 référence exhaustive corrigée pour lancement Phase 2 bis — 17 septembre 2026</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1906" w:h="16838"/>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Source de vérité produit &amp; technique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ActiCiv — Livre Produit &amp; Technique v1.4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A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ptos" w:hAnsi="Aptos"/>
      <w:b/>
      <w:color w:val="16324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ActiCiv — Livre Produit &amp; Technique v1.4</dc:title>
  <dc:subject>Référence produit, architecture, qualité, sécurité et gouvernance engineering</dc:subject>
  <dc:creator>ActiCiv</dc:creator>
  <cp:keywords>ActiCiv, produit, MVP, accessibilité, civic tech, architecture, QA</cp:keywords>
  <dc:description>ActiCiv Livre Produit &amp; Technique v1.1 — architecture hexagonale pragmatique ajoutée, contenu v1.0 conservé.</dc:description>
  <cp:lastModifiedBy/>
  <cp:revision>1</cp:revision>
  <dcterms:created xsi:type="dcterms:W3CDTF">2013-12-23T23:15:00Z</dcterms:created>
  <dcterms:modified xsi:type="dcterms:W3CDTF">2013-12-23T23:15:00Z</dcterms:modified>
  <cp:category/>
</cp:coreProperties>
</file>