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27" w:lineRule="exact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process</w:t>
      </w:r>
      <w:r>
        <w:rPr>
          <w:rFonts w:ascii="Arial" w:hAnsi="Arial" w:cs="Arial" w:eastAsia="Arial"/>
          <w:sz w:val="20"/>
          <w:szCs w:val="20"/>
          <w:spacing w:val="2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changes</w:t>
      </w:r>
      <w:r>
        <w:rPr>
          <w:rFonts w:ascii="Arial" w:hAnsi="Arial" w:cs="Arial" w:eastAsia="Arial"/>
          <w:sz w:val="20"/>
          <w:szCs w:val="20"/>
          <w:spacing w:val="2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repeatedly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b/>
          <w:bCs/>
          <w:position w:val="-1"/>
        </w:rPr>
        <w:t>quickly!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42.519691pt;margin-top:-7.465911pt;width:510.2362pt;height:.1pt;mso-position-horizontal-relative:page;mso-position-vertical-relative:paragraph;z-index:-95" coordorigin="850,-149" coordsize="10205,2">
            <v:shape style="position:absolute;left:850;top:-149;width:10205;height:2" coordorigin="850,-149" coordsize="10205,0" path="m850,-149l11055,-149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eCrime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Taxonomy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from</w:t>
      </w:r>
      <w:r>
        <w:rPr>
          <w:rFonts w:ascii="Arial" w:hAnsi="Arial" w:cs="Arial" w:eastAsia="Arial"/>
          <w:sz w:val="20"/>
          <w:szCs w:val="20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Laws</w:t>
      </w:r>
      <w:r>
        <w:rPr>
          <w:rFonts w:ascii="Arial" w:hAnsi="Arial" w:cs="Arial" w:eastAsia="Arial"/>
          <w:sz w:val="20"/>
          <w:szCs w:val="2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--&gt;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b/>
          <w:bCs/>
        </w:rPr>
        <w:t>Technology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early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mid,</w:t>
      </w:r>
      <w:r>
        <w:rPr>
          <w:rFonts w:ascii="Arial" w:hAnsi="Arial" w:cs="Arial" w:eastAsia="Arial"/>
          <w:sz w:val="18"/>
          <w:szCs w:val="18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</w:rPr>
        <w:t>2012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Rationale,</w:t>
      </w:r>
      <w:r>
        <w:rPr>
          <w:rFonts w:ascii="Arial" w:hAnsi="Arial" w:cs="Arial" w:eastAsia="Arial"/>
          <w:sz w:val="18"/>
          <w:szCs w:val="18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least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</w:rPr>
        <w:t>Idea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2" w:lineRule="auto"/>
        <w:ind w:left="110" w:right="291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After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considerable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discussion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beer)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different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way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approach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issue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born.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sounds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much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easier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re-educate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technology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professionals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('techies')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legal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professionals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('legal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professionals')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version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starts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identifying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broad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categories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crime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law.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Those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would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apply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Internet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activity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noted,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dissected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classified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until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actual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internet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activity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violates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law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identified.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example,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would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start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with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'fraud'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dissect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onto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major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categories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fraud,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eventually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up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'phishing'.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hope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following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legal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trail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instead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techie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trail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result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will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more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law-enforcement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appropriate.</w:t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top-level</w:t>
      </w:r>
      <w:r>
        <w:rPr>
          <w:rFonts w:ascii="Arial" w:hAnsi="Arial" w:cs="Arial" w:eastAsia="Arial"/>
          <w:sz w:val="18"/>
          <w:szCs w:val="18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crime</w:t>
      </w:r>
      <w:r>
        <w:rPr>
          <w:rFonts w:ascii="Arial" w:hAnsi="Arial" w:cs="Arial" w:eastAsia="Arial"/>
          <w:sz w:val="18"/>
          <w:szCs w:val="18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</w:rPr>
        <w:t>definitions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2" w:lineRule="auto"/>
        <w:ind w:left="110" w:right="283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generate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classification,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need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have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top-level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classes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split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up.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Although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others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have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suggessted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bottom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up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approach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work,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chart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goes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top-down.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cut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major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'crime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classes'.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Note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that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we're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differentiating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between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electronic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crime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traditional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crime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we're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just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trying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figure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out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major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grouping.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crime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classes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(from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answers.com):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12" w:lineRule="auto"/>
        <w:ind w:left="335" w:right="116" w:firstLine="-225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1.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Offenses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against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public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peace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order,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treason,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rioting,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obstruction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officers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law.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Offenses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against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government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included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category.</w:t>
      </w:r>
    </w:p>
    <w:p>
      <w:pPr>
        <w:spacing w:before="41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2.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Offenses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against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public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health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morals,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bigamy,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medical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sale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narcotics,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pollution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public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water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supplies.</w:t>
      </w:r>
    </w:p>
    <w:p>
      <w:pPr>
        <w:spacing w:before="92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3.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Offenses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against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person,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murder,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manslaughter,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assault.</w:t>
      </w:r>
    </w:p>
    <w:p>
      <w:pPr>
        <w:spacing w:before="92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4.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Offenses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against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property,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including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burglary,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theft,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fraud,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on.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crime</w:t>
      </w:r>
      <w:r>
        <w:rPr>
          <w:rFonts w:ascii="Arial" w:hAnsi="Arial" w:cs="Arial" w:eastAsia="Arial"/>
          <w:sz w:val="18"/>
          <w:szCs w:val="18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hierarchy</w:t>
      </w:r>
      <w:r>
        <w:rPr>
          <w:rFonts w:ascii="Arial" w:hAnsi="Arial" w:cs="Arial" w:eastAsia="Arial"/>
          <w:sz w:val="18"/>
          <w:szCs w:val="1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</w:rPr>
        <w:t>visualization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atLeast"/>
        <w:ind w:left="110" w:right="558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mindmap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generated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help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visualize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dissections.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below.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[Input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welcome.]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crimes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expected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seen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Internet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(e.g.,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murder)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blue.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listed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completeness.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Last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modified: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10-July-2012</w:t>
      </w:r>
    </w:p>
    <w:p>
      <w:pPr>
        <w:spacing w:before="6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07.262398pt;height:257.8500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NumType w:start="1"/>
          <w:pgMar w:header="523" w:footer="644" w:top="720" w:bottom="840" w:left="760" w:right="760"/>
          <w:headerReference w:type="default" r:id="rId5"/>
          <w:footerReference w:type="default" r:id="rId6"/>
          <w:type w:val="continuous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1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Next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Great</w:t>
      </w:r>
      <w:r>
        <w:rPr>
          <w:rFonts w:ascii="Arial" w:hAnsi="Arial" w:cs="Arial" w:eastAsia="Arial"/>
          <w:sz w:val="18"/>
          <w:szCs w:val="18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</w:rPr>
        <w:t>Step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Break</w:t>
      </w:r>
      <w:r>
        <w:rPr>
          <w:rFonts w:ascii="Arial" w:hAnsi="Arial" w:cs="Arial" w:eastAsia="Arial"/>
          <w:sz w:val="16"/>
          <w:szCs w:val="16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down</w:t>
      </w:r>
      <w:r>
        <w:rPr>
          <w:rFonts w:ascii="Arial" w:hAnsi="Arial" w:cs="Arial" w:eastAsia="Arial"/>
          <w:sz w:val="16"/>
          <w:szCs w:val="16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four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categories</w:t>
      </w:r>
      <w:r>
        <w:rPr>
          <w:rFonts w:ascii="Arial" w:hAnsi="Arial" w:cs="Arial" w:eastAsia="Arial"/>
          <w:sz w:val="16"/>
          <w:szCs w:val="16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  <w:b/>
          <w:bCs/>
        </w:rPr>
        <w:t>further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10" w:right="31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Each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four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major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categories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subdivided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(as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shown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mindmap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above)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broad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"offenses".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Each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those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offenses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requires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more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subdivision.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minimize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confusion,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were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given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their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own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space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enjoy: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169" w:lineRule="exact"/>
        <w:ind w:left="335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position w:val="-1"/>
        </w:rPr>
      </w:r>
      <w:hyperlink r:id="rId8"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Offenses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against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the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public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peace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and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order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position w:val="-1"/>
          </w:rPr>
        </w:r>
        <w:r>
          <w:rPr>
            <w:rFonts w:ascii="Arial" w:hAnsi="Arial" w:cs="Arial" w:eastAsia="Arial"/>
            <w:sz w:val="15"/>
            <w:szCs w:val="15"/>
            <w:color w:val="000000"/>
            <w:spacing w:val="0"/>
            <w:w w:val="100"/>
            <w:position w:val="0"/>
          </w:rPr>
        </w:r>
      </w:hyperlink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169" w:lineRule="exact"/>
        <w:ind w:left="335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position w:val="-1"/>
        </w:rPr>
      </w:r>
      <w:hyperlink r:id="rId9"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Offenses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against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the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public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health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and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morals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position w:val="-1"/>
          </w:rPr>
        </w:r>
        <w:r>
          <w:rPr>
            <w:rFonts w:ascii="Arial" w:hAnsi="Arial" w:cs="Arial" w:eastAsia="Arial"/>
            <w:sz w:val="15"/>
            <w:szCs w:val="15"/>
            <w:color w:val="000000"/>
            <w:spacing w:val="0"/>
            <w:w w:val="100"/>
            <w:position w:val="0"/>
          </w:rPr>
        </w:r>
      </w:hyperlink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169" w:lineRule="exact"/>
        <w:ind w:left="335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position w:val="-1"/>
        </w:rPr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Offenses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against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the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  <w:position w:val="-1"/>
        </w:rPr>
        <w:t>person?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335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</w:rPr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</w:rPr>
        <w:t>Offenses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</w:rPr>
        <w:t>against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</w:rPr>
        <w:t>property?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Develop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definitions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each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level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map.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[In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process]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4" w:lineRule="exact"/>
        <w:ind w:left="11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  <w:position w:val="-1"/>
        </w:rPr>
        <w:t>References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169" w:lineRule="exact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position w:val="-1"/>
        </w:rPr>
      </w:r>
      <w:hyperlink r:id="rId10"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u w:val="single" w:color="0000FF"/>
            <w:position w:val="-1"/>
          </w:rPr>
          <w:t>[1]</w:t>
        </w:r>
        <w:r>
          <w:rPr>
            <w:rFonts w:ascii="Arial" w:hAnsi="Arial" w:cs="Arial" w:eastAsia="Arial"/>
            <w:sz w:val="15"/>
            <w:szCs w:val="15"/>
            <w:color w:val="0000FF"/>
            <w:spacing w:val="0"/>
            <w:w w:val="100"/>
            <w:position w:val="-1"/>
          </w:rPr>
          <w:t> </w:t>
        </w:r>
      </w:hyperlink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Restatement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(Second)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Torts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-1"/>
        </w:rPr>
        <w:t>(1965)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</w:rPr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u w:val="single" w:color="0000FF"/>
        </w:rPr>
        <w:t>[2]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Fraud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can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perpetrated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against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persons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objects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so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included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multiple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  <w:t>times.</w:t>
      </w:r>
    </w:p>
    <w:sectPr>
      <w:pgMar w:header="523" w:footer="644" w:top="720" w:bottom="840" w:left="760" w:right="76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552795pt;margin-top:798.677734pt;width:8.17pt;height:9.5pt;mso-position-horizontal-relative:page;mso-position-vertical-relative:page;z-index:-94" type="#_x0000_t202" filled="f" stroked="f">
          <v:textbox inset="0,0,0,0">
            <w:txbxContent>
              <w:p>
                <w:pPr>
                  <w:spacing w:before="1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3.230896pt;margin-top:27.65411pt;width:119.525006pt;height:9.5pt;mso-position-horizontal-relative:page;mso-position-vertical-relative:page;z-index:-95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3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WikiPrint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from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Polar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spacing w:val="0"/>
                    <w:w w:val="100"/>
                  </w:rPr>
                  <w:t>Technologies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hyperlink" Target="https://repoman.apwg.org/research/wiki/crimetype1" TargetMode="External"/><Relationship Id="rId9" Type="http://schemas.openxmlformats.org/officeDocument/2006/relationships/hyperlink" Target="https://repoman.apwg.org/research/wiki/crimetype2" TargetMode="External"/><Relationship Id="rId10" Type="http://schemas.openxmlformats.org/officeDocument/2006/relationships/hyperlink" Target="https://repoman.apwg.org/research/changeset/1/form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2014-08-09T13:22:02Z</dcterms:created>
  <dcterms:modified xsi:type="dcterms:W3CDTF">2014-08-09T13:22:02Z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2014-03-30T00:00:00Z</vt:filetime>
  </property>
  <property fmtid="{D5CDD505-2E9C-101B-9397-08002B2CF9AE}" pid="3" name="LastSaved">
    <vt:filetime>2014-08-09T00:00:00Z</vt:filetime>
  </property>
</Properties>
</file>