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204" w:after="0"/>
        <w:ind w:left="196" w:right="0" w:firstLine="0"/>
        <w:jc w:val="left"/>
      </w:pP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รายงาน</w:t>
      </w:r>
      <w:r>
        <w:rPr>
          <w:w w:val="101.78571428571428"/>
          <w:rFonts w:ascii="Segoe UI" w:hAnsi="Segoe UI" w:eastAsia="Segoe UI"/>
          <w:b/>
          <w:i w:val="0"/>
          <w:color w:val="173A62"/>
          <w:sz w:val="28"/>
        </w:rPr>
        <w:t xml:space="preserve"> Ch1 - </w:t>
      </w: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ข้อมูลองค์กร</w:t>
      </w:r>
    </w:p>
    <w:p>
      <w:pPr>
        <w:autoSpaceDN w:val="0"/>
        <w:autoSpaceDE w:val="0"/>
        <w:widowControl/>
        <w:spacing w:line="266" w:lineRule="auto" w:before="94" w:after="0"/>
        <w:ind w:left="196" w:right="360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องค์กร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</w:t>
      </w:r>
      <w:r>
        <w:rPr>
          <w:rFonts w:ascii="Tahoma" w:hAnsi="Tahoma" w:eastAsia="Tahoma"/>
          <w:b w:val="0"/>
          <w:i w:val="0"/>
          <w:color w:val="5F728B"/>
          <w:sz w:val="18"/>
        </w:rPr>
        <w:t>สำนักงานสภาพัฒนาการเศรษฐกิจและสังคมแห่งชาติ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วันที่ส่ง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19/03/2569 15:21 | </w:t>
      </w:r>
      <w:r>
        <w:rPr>
          <w:rFonts w:ascii="Tahoma" w:hAnsi="Tahoma" w:eastAsia="Tahoma"/>
          <w:b w:val="0"/>
          <w:i w:val="0"/>
          <w:color w:val="5F728B"/>
          <w:sz w:val="18"/>
        </w:rPr>
        <w:t>อีเมลผู้กรอก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natthiyaporn@nesdc.go.th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บุคลากรทั้งหมด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666 | </w:t>
      </w:r>
      <w:r>
        <w:rPr>
          <w:rFonts w:ascii="Tahoma" w:hAnsi="Tahoma" w:eastAsia="Tahoma"/>
          <w:b w:val="0"/>
          <w:i w:val="0"/>
          <w:color w:val="5F728B"/>
          <w:sz w:val="18"/>
        </w:rPr>
        <w:t>จำนวนชุดข้อมูลในองค์กรนี้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1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เรียงตามลำดับคอลัมน์จากไฟล์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 ch1_all_data 200369 11org.xlsx | </w:t>
      </w:r>
      <w:r>
        <w:rPr>
          <w:rFonts w:ascii="Tahoma" w:hAnsi="Tahoma" w:eastAsia="Tahoma"/>
          <w:b w:val="0"/>
          <w:i w:val="0"/>
          <w:color w:val="5F728B"/>
          <w:sz w:val="18"/>
        </w:rPr>
        <w:t>สร้างเมื่อ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20/03/2569 01:31:54</w:t>
      </w:r>
    </w:p>
    <w:p>
      <w:pPr>
        <w:autoSpaceDN w:val="0"/>
        <w:autoSpaceDE w:val="0"/>
        <w:widowControl/>
        <w:spacing w:line="240" w:lineRule="auto" w:before="540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1: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2: </w:t>
      </w:r>
      <w:r>
        <w:rPr>
          <w:rFonts w:ascii="Tahoma" w:hAnsi="Tahoma" w:eastAsia="Tahoma"/>
          <w:b/>
          <w:i w:val="0"/>
          <w:color w:val="27466A"/>
          <w:sz w:val="18"/>
        </w:rPr>
        <w:t>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สำนักงานสภาพัฒนาการเศรษฐกิจและสังคมแห่งชาติ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3: </w:t>
      </w:r>
      <w:r>
        <w:rPr>
          <w:rFonts w:ascii="Tahoma" w:hAnsi="Tahoma" w:eastAsia="Tahoma"/>
          <w:b/>
          <w:i w:val="0"/>
          <w:color w:val="27466A"/>
          <w:sz w:val="18"/>
        </w:rPr>
        <w:t>วันที่ส่ง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19/03/2569 15:21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4: </w:t>
      </w:r>
      <w:r>
        <w:rPr>
          <w:rFonts w:ascii="Tahoma" w:hAnsi="Tahoma" w:eastAsia="Tahoma"/>
          <w:b/>
          <w:i w:val="0"/>
          <w:color w:val="27466A"/>
          <w:sz w:val="18"/>
        </w:rPr>
        <w:t>อีเมลผู้กรอก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natthiyaporn@nesdc.go.th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5: </w:t>
      </w:r>
      <w:r>
        <w:rPr>
          <w:rFonts w:ascii="Tahoma" w:hAnsi="Tahoma" w:eastAsia="Tahoma"/>
          <w:b/>
          <w:i w:val="0"/>
          <w:color w:val="27466A"/>
          <w:sz w:val="18"/>
        </w:rPr>
        <w:t>บุคลากรทั้งหมด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666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6: </w:t>
      </w:r>
      <w:r>
        <w:rPr>
          <w:rFonts w:ascii="Tahoma" w:hAnsi="Tahoma" w:eastAsia="Tahoma"/>
          <w:b/>
          <w:i w:val="0"/>
          <w:color w:val="27466A"/>
          <w:sz w:val="18"/>
        </w:rPr>
        <w:t>ภาพรวมยุทธศาสตร์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วิสัยทัศน์</w:t>
            </w:r>
          </w:p>
        </w:tc>
      </w:tr>
    </w:tbl>
    <w:p>
      <w:pPr>
        <w:autoSpaceDN w:val="0"/>
        <w:autoSpaceDE w:val="0"/>
        <w:widowControl/>
        <w:spacing w:line="250" w:lineRule="auto" w:before="14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องค์กรประสิทธิภาพสูงเชิงรุก</w:t>
      </w:r>
    </w:p>
    <w:p>
      <w:pPr>
        <w:autoSpaceDN w:val="0"/>
        <w:autoSpaceDE w:val="0"/>
        <w:widowControl/>
        <w:spacing w:line="262" w:lineRule="auto" w:before="306" w:after="0"/>
        <w:ind w:left="332" w:right="3312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ค่านิยมองค์กร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มุ่งมั่น</w:t>
      </w:r>
      <w:r>
        <w:rPr>
          <w:rFonts w:ascii="Tahoma" w:hAnsi="Tahoma" w:eastAsia="Tahoma"/>
          <w:b w:val="0"/>
          <w:i w:val="0"/>
          <w:color w:val="1F3148"/>
          <w:sz w:val="18"/>
        </w:rPr>
        <w:t>ทุ่มเท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เพื่อพัฒนาประเทศและประโยชน์สุขแก่สังคม</w:t>
      </w:r>
      <w:r>
        <w:rPr>
          <w:rFonts w:ascii="Tahoma" w:hAnsi="Tahoma" w:eastAsia="Tahoma"/>
          <w:b w:val="0"/>
          <w:i w:val="0"/>
          <w:color w:val="1F3148"/>
          <w:sz w:val="18"/>
        </w:rPr>
        <w:t>ด้วยคุณธรรม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ตามหลักวิชาการอย่างมืออาชีพ</w:t>
      </w:r>
    </w:p>
    <w:p>
      <w:pPr>
        <w:autoSpaceDN w:val="0"/>
        <w:autoSpaceDE w:val="0"/>
        <w:widowControl/>
        <w:spacing w:line="257" w:lineRule="auto" w:before="306" w:after="0"/>
        <w:ind w:left="332" w:right="6192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วัฒนธรรมองค์การ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เป็นองค์กรที่มุ่งสู่ความเป็นเลิศทางด้านวิชาการ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เป็นองค์กรที่มีความรับผิดชอบต่อสาธารณะและสังคม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มีระบบธรรมาภิบาล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บุคลากรของสำนักงานฯ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เป็นทรัพยากรอันมีค่าที่สุดขององค์กร</w:t>
      </w:r>
    </w:p>
    <w:p>
      <w:pPr>
        <w:autoSpaceDN w:val="0"/>
        <w:autoSpaceDE w:val="0"/>
        <w:widowControl/>
        <w:spacing w:line="266" w:lineRule="auto" w:before="284" w:after="0"/>
        <w:ind w:left="332" w:right="72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พันธกิจ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5 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ดังนี้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พันธกิจที่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1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จัดทำและบูรณาการแผนพัฒนาประเทศ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เพื่อการพัฒนากรอบทิศทางการพัฒนาประเทศ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ที่ครอบคลุมทุกประเด็นที่สำคัญ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โดยมุ่งให้แผนพัฒนามีความสอดคล้องกับบริบทของพื้นที่และประเทศ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รวมถึงการวิเคราะห์และประเมินผลเพื่อ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ปรับปรุงแผนพัฒนาอย่างต่อเนื่อง</w:t>
      </w:r>
    </w:p>
    <w:p>
      <w:pPr>
        <w:autoSpaceDN w:val="0"/>
        <w:autoSpaceDE w:val="0"/>
        <w:widowControl/>
        <w:spacing w:line="262" w:lineRule="auto" w:before="294" w:after="0"/>
        <w:ind w:left="332" w:right="576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พันธกิจที่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2 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ประสานขับเคลื่อนการพัฒนาประเทศ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เป็นการดำเนินการตามแผนและนโยบายที่กำหนดไว้ในระดับต่าง</w:t>
      </w:r>
      <w:r>
        <w:rPr>
          <w:rFonts w:ascii="Tahoma" w:hAnsi="Tahoma" w:eastAsia="Tahoma"/>
          <w:b w:val="0"/>
          <w:i w:val="0"/>
          <w:color w:val="1F3148"/>
          <w:sz w:val="18"/>
        </w:rPr>
        <w:t>ๆ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โดยการนำเสนอโครงการที่</w:t>
      </w:r>
      <w:r>
        <w:rPr>
          <w:rFonts w:ascii="Tahoma" w:hAnsi="Tahoma" w:eastAsia="Tahoma"/>
          <w:b w:val="0"/>
          <w:i w:val="0"/>
          <w:color w:val="1F3148"/>
          <w:sz w:val="18"/>
        </w:rPr>
        <w:t>สอดคล้องกับเป้าหมายการพัฒนาภายใต้แผนทั้ง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3 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ระดับ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การประสานงานกับหน่วยงานที่เกี่ยวข้องเพื่อให้การพัฒนาประเทศ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เป็นไปอย่างราบรื่นและบรรลุเป้าหมายที่กำหนดไว้</w:t>
      </w:r>
    </w:p>
    <w:p>
      <w:pPr>
        <w:autoSpaceDN w:val="0"/>
        <w:autoSpaceDE w:val="0"/>
        <w:widowControl/>
        <w:spacing w:line="264" w:lineRule="auto" w:before="294" w:after="0"/>
        <w:ind w:left="332" w:right="538" w:firstLine="0"/>
        <w:jc w:val="both"/>
      </w:pPr>
      <w:r>
        <w:rPr>
          <w:rFonts w:ascii="Tahoma" w:hAnsi="Tahoma" w:eastAsia="Tahoma"/>
          <w:b w:val="0"/>
          <w:i w:val="0"/>
          <w:color w:val="1F3148"/>
          <w:sz w:val="18"/>
        </w:rPr>
        <w:t>พันธกิจที่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3 </w:t>
      </w:r>
      <w:r>
        <w:rPr>
          <w:rFonts w:ascii="Tahoma" w:hAnsi="Tahoma" w:eastAsia="Tahoma"/>
          <w:b w:val="0"/>
          <w:i w:val="0"/>
          <w:color w:val="1F3148"/>
          <w:sz w:val="18"/>
        </w:rPr>
        <w:t>ติดตามและประเมินผลการพัฒนาประเทศ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เป็นการดำเนินการที่เกี่ยวข้องกับการวิเคราะห์และประเมินผลลัพธ์ของแผนพัฒนาเศรษฐกิจ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และสังคมแห่งชาติในทุกระดับ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เพื่อให้สามารถปรับปรุงและขับเคลื่อนแผนพัฒนาได้อย่างมีประสิทธิภาพ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รวมถึงการสร้างเครือข่ายและเครื่องมือใน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การติดตามประเมินผลที่มีประสิทธิภาพ</w:t>
      </w:r>
    </w:p>
    <w:p>
      <w:pPr>
        <w:autoSpaceDN w:val="0"/>
        <w:autoSpaceDE w:val="0"/>
        <w:widowControl/>
        <w:spacing w:line="269" w:lineRule="auto" w:before="292" w:after="0"/>
        <w:ind w:left="332" w:right="432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พันธกิจที่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4 </w:t>
      </w:r>
      <w:r>
        <w:rPr>
          <w:rFonts w:ascii="Tahoma" w:hAnsi="Tahoma" w:eastAsia="Tahoma"/>
          <w:b w:val="0"/>
          <w:i w:val="0"/>
          <w:color w:val="1F3148"/>
          <w:sz w:val="18"/>
        </w:rPr>
        <w:t>หน่วยงานข้อมูลและองค์ความรู้ในการพัฒนาประเทศ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เพื่อการสร้างและจัดหาข้อมูล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ที่เชื่อถือได้และเป็นประโยชน์สำหรับการพัฒนาประเทศ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รวมถึงการพัฒนาชุดข้อมูลและองค์ความรู้ที่สามารถนำไปใช้ในงานวิเคราะห์และการตัดสิน</w:t>
      </w:r>
      <w:r>
        <w:rPr>
          <w:rFonts w:ascii="Tahoma" w:hAnsi="Tahoma" w:eastAsia="Tahoma"/>
          <w:b w:val="0"/>
          <w:i w:val="0"/>
          <w:color w:val="1F3148"/>
          <w:sz w:val="18"/>
        </w:rPr>
        <w:t>ใจเพื่อการพัฒนาประเทศอย่างต่อเนื่องและครอบคลุม</w:t>
      </w:r>
    </w:p>
    <w:p>
      <w:pPr>
        <w:autoSpaceDN w:val="0"/>
        <w:autoSpaceDE w:val="0"/>
        <w:widowControl/>
        <w:spacing w:line="240" w:lineRule="auto" w:before="292" w:after="12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พันธกิจที่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5 </w:t>
      </w:r>
      <w:r>
        <w:rPr>
          <w:rFonts w:ascii="Tahoma" w:hAnsi="Tahoma" w:eastAsia="Tahoma"/>
          <w:b w:val="0"/>
          <w:i w:val="0"/>
          <w:color w:val="1F3148"/>
          <w:sz w:val="18"/>
        </w:rPr>
        <w:t>หน่วยงานบริหารจัดการภายในองค์กรที่มีประสิทธิภาพ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เป็นการพัฒนาระบบการจัดการภายในองค์กรให้สามารถสนับสนุนการดำเนินงาน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46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ต่าง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ๆ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ได้อย่างมีประสิทธิภาพ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และสอดคล้องกับพันธกิจอื่น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ๆ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รวมถึงการพัฒนาบุคลากรและระบบการทำงานที่มีมาตรฐานสูง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7: </w:t>
      </w:r>
      <w:r>
        <w:rPr>
          <w:rFonts w:ascii="Tahoma" w:hAnsi="Tahoma" w:eastAsia="Tahoma"/>
          <w:b/>
          <w:i w:val="0"/>
          <w:color w:val="27466A"/>
          <w:sz w:val="18"/>
        </w:rPr>
        <w:t>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78"/>
        </w:trPr>
        <w:tc>
          <w:tcPr>
            <w:tcW w:type="dxa" w:w="10500"/>
            <w:tcBorders>
              <w:top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โครงสร้างการแบ่งส่วนราชการภายในสำนักงานสภาพัฒนาการเศรษฐกิจและสังคมแห่งชาติ</w:t>
            </w:r>
          </w:p>
        </w:tc>
      </w:tr>
    </w:tbl>
    <w:p>
      <w:pPr>
        <w:autoSpaceDN w:val="0"/>
        <w:autoSpaceDE w:val="0"/>
        <w:widowControl/>
        <w:spacing w:line="254" w:lineRule="auto" w:before="12" w:after="0"/>
        <w:ind w:left="332" w:right="576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สศช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 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มีเลขาธิการสภาพัฒนาการเศรษฐกิจและสังคมแห่งชาติเป็นผู้บริหารสูงสุด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มีผู้บริหาร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ระดับรองลงมา</w:t>
      </w:r>
      <w:r>
        <w:rPr>
          <w:rFonts w:ascii="Tahoma" w:hAnsi="Tahoma" w:eastAsia="Tahoma"/>
          <w:b w:val="0"/>
          <w:i w:val="0"/>
          <w:color w:val="1F3148"/>
          <w:sz w:val="18"/>
        </w:rPr>
        <w:t>ได้แก่</w:t>
      </w:r>
      <w:r>
        <w:rPr>
          <w:rFonts w:ascii="Tahoma" w:hAnsi="Tahoma" w:eastAsia="Tahoma"/>
          <w:b w:val="0"/>
          <w:i w:val="0"/>
          <w:color w:val="1F3148"/>
          <w:sz w:val="18"/>
        </w:rPr>
        <w:t>รองเลขาธิการฯ</w:t>
      </w:r>
      <w:r>
        <w:rPr>
          <w:rFonts w:ascii="Tahoma" w:hAnsi="Tahoma" w:eastAsia="Tahoma"/>
          <w:b w:val="0"/>
          <w:i w:val="0"/>
          <w:color w:val="1F3148"/>
          <w:sz w:val="18"/>
        </w:rPr>
        <w:t>ที่ปรึกษาด้าน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นโยบายและแผนงาน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ผู้อำนวยการสำนัก</w:t>
      </w:r>
      <w:r>
        <w:rPr>
          <w:rFonts w:ascii="Segoe UI" w:hAnsi="Segoe UI" w:eastAsia="Segoe UI"/>
          <w:b w:val="0"/>
          <w:i w:val="0"/>
          <w:color w:val="1F3148"/>
          <w:sz w:val="18"/>
        </w:rPr>
        <w:t>/</w:t>
      </w:r>
      <w:r>
        <w:rPr>
          <w:rFonts w:ascii="Tahoma" w:hAnsi="Tahoma" w:eastAsia="Tahoma"/>
          <w:b w:val="0"/>
          <w:i w:val="0"/>
          <w:color w:val="1F3148"/>
          <w:sz w:val="18"/>
        </w:rPr>
        <w:t>กอง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มีบุคลากรรวมประมาณ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600 </w:t>
      </w:r>
      <w:r>
        <w:rPr>
          <w:rFonts w:ascii="Tahoma" w:hAnsi="Tahoma" w:eastAsia="Tahoma"/>
          <w:b w:val="0"/>
          <w:i w:val="0"/>
          <w:color w:val="1F3148"/>
          <w:sz w:val="18"/>
        </w:rPr>
        <w:t>คน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แบ่งส่วนราชการ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ตามกฎกระทรวง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แบ่งส่วนราชการสำนักงานสภา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พัฒนาการเศรษฐกิจและสังคมแห่งชาติ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สำนักนายกรัฐมนตรี</w:t>
      </w:r>
      <w:r>
        <w:rPr>
          <w:rFonts w:ascii="Tahoma" w:hAnsi="Tahoma" w:eastAsia="Tahoma"/>
          <w:b w:val="0"/>
          <w:i w:val="0"/>
          <w:color w:val="1F3148"/>
          <w:sz w:val="18"/>
        </w:rPr>
        <w:t>พ</w:t>
      </w:r>
      <w:r>
        <w:rPr>
          <w:rFonts w:ascii="Segoe UI" w:hAnsi="Segoe UI" w:eastAsia="Segoe UI"/>
          <w:b w:val="0"/>
          <w:i w:val="0"/>
          <w:color w:val="1F3148"/>
          <w:sz w:val="18"/>
        </w:rPr>
        <w:t>.</w:t>
      </w:r>
      <w:r>
        <w:rPr>
          <w:rFonts w:ascii="Tahoma" w:hAnsi="Tahoma" w:eastAsia="Tahoma"/>
          <w:b w:val="0"/>
          <w:i w:val="0"/>
          <w:color w:val="1F3148"/>
          <w:sz w:val="18"/>
        </w:rPr>
        <w:t>ศ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 2562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5 </w:t>
      </w:r>
      <w:r>
        <w:rPr>
          <w:rFonts w:ascii="Tahoma" w:hAnsi="Tahoma" w:eastAsia="Tahoma"/>
          <w:b w:val="0"/>
          <w:i w:val="0"/>
          <w:color w:val="1F3148"/>
          <w:sz w:val="18"/>
        </w:rPr>
        <w:t>สำนักงาน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14 </w:t>
      </w:r>
      <w:r>
        <w:rPr>
          <w:rFonts w:ascii="Tahoma" w:hAnsi="Tahoma" w:eastAsia="Tahoma"/>
          <w:b w:val="0"/>
          <w:i w:val="0"/>
          <w:color w:val="1F3148"/>
          <w:sz w:val="18"/>
        </w:rPr>
        <w:t>กอง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1 </w:t>
      </w:r>
      <w:r>
        <w:rPr>
          <w:rFonts w:ascii="Tahoma" w:hAnsi="Tahoma" w:eastAsia="Tahoma"/>
          <w:b w:val="0"/>
          <w:i w:val="0"/>
          <w:color w:val="1F3148"/>
          <w:sz w:val="18"/>
        </w:rPr>
        <w:t>ศูนย์</w:t>
      </w:r>
    </w:p>
    <w:p>
      <w:pPr>
        <w:autoSpaceDN w:val="0"/>
        <w:autoSpaceDE w:val="0"/>
        <w:widowControl/>
        <w:spacing w:line="274" w:lineRule="auto" w:before="284" w:after="18"/>
        <w:ind w:left="332" w:right="288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อำนาจหน้าที่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ดำเนินงานในฐานะเจ้าหน้าที่ฝ่ายเลขานุการของสภาพัฒนาการเศรษฐกิจและสังคมแห่งชาติ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ศึกษา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วิเคราะห์</w:t>
      </w:r>
      <w:r>
        <w:rPr>
          <w:rFonts w:ascii="Tahoma" w:hAnsi="Tahoma" w:eastAsia="Tahoma"/>
          <w:b w:val="0"/>
          <w:i w:val="0"/>
          <w:color w:val="1F3148"/>
          <w:sz w:val="18"/>
        </w:rPr>
        <w:t>วิจัย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และติดตามภาวะเศรษฐกิจและสังคมของประเทศและของโลก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รวมทั้งปัญหาและโอกาสทางเศรษฐกิจและสังคม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และคาด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การณ์แนวโน้มการเปลี่ยนแปลงที่สำคัญทั้งในบริบทประเทศและโลก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เพื่อจัดทำข้อเสนอในเชิงนโยบายและมาตรการการพัฒนาประเทศหรือรองรับ</w:t>
      </w:r>
      <w:r>
        <w:rPr>
          <w:rFonts w:ascii="Tahoma" w:hAnsi="Tahoma" w:eastAsia="Tahoma"/>
          <w:b w:val="0"/>
          <w:i w:val="0"/>
          <w:color w:val="1F3148"/>
          <w:sz w:val="18"/>
        </w:rPr>
        <w:t>ผลกระทบต่อภาวะเศรษฐกิจและสังคมของประเทศเพื่อนำเสนอคณะรัฐมนตรี</w:t>
      </w:r>
      <w:r>
        <w:rPr>
          <w:rFonts w:ascii="Tahoma" w:hAnsi="Tahoma" w:eastAsia="Tahoma"/>
          <w:b w:val="0"/>
          <w:i w:val="0"/>
          <w:color w:val="1F3148"/>
          <w:sz w:val="18"/>
        </w:rPr>
        <w:t>นายกรัฐมนตรี</w:t>
      </w:r>
      <w:r>
        <w:rPr>
          <w:rFonts w:ascii="Tahoma" w:hAnsi="Tahoma" w:eastAsia="Tahoma"/>
          <w:b w:val="0"/>
          <w:i w:val="0"/>
          <w:color w:val="1F3148"/>
          <w:sz w:val="18"/>
        </w:rPr>
        <w:t>หรือสภาพัฒนาการเศรษฐกิจและสังคมแห่งชาติ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พิจารณา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ประสานงานกับหน่วยงานของรัฐและประชาชนภาคส่วนต่าง</w:t>
      </w:r>
      <w:r>
        <w:rPr>
          <w:rFonts w:ascii="Tahoma" w:hAnsi="Tahoma" w:eastAsia="Tahoma"/>
          <w:b w:val="0"/>
          <w:i w:val="0"/>
          <w:color w:val="1F3148"/>
          <w:sz w:val="18"/>
        </w:rPr>
        <w:t>ๆ</w:t>
      </w:r>
      <w:r>
        <w:rPr>
          <w:rFonts w:ascii="Tahoma" w:hAnsi="Tahoma" w:eastAsia="Tahoma"/>
          <w:b w:val="0"/>
          <w:i w:val="0"/>
          <w:color w:val="1F3148"/>
          <w:sz w:val="18"/>
        </w:rPr>
        <w:t>เกี่ยวกับการจัดทำร่างแผนพัฒนาเศรษฐกิจและสังคมแห่งชาติ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ดำเนินการในส่วนที่เกี่ยวข้องกับยุทธศาสตร์ชาติและแผนการปฏิรูปประเทศ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จัดทำฐานข้อมูลเศรษฐกิจและสังคม</w:t>
      </w:r>
      <w:r>
        <w:rPr>
          <w:rFonts w:ascii="Tahoma" w:hAnsi="Tahoma" w:eastAsia="Tahoma"/>
          <w:b w:val="0"/>
          <w:i w:val="0"/>
          <w:color w:val="1F3148"/>
          <w:sz w:val="18"/>
        </w:rPr>
        <w:t>บัญชีประชาชาติของประเทศตามระบบสากล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เพื่อประกอบการจัดทำนโยบายการพัฒนาประเทศ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และรายงาน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ภาวะเศรษฐกิจและสังคมของประเทศเสนอคณะรัฐมนตรีเพื่อทราบ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และเผยแพร่ให้ประชาชนทราบ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จัดทำกรอบการลงทุนประจำปีของรัฐวิสาหกิจในภาพรวม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จัดทำข้อเสนองบประมาณประจำปีของรัฐวิสาหกิจ</w:t>
      </w:r>
      <w:r>
        <w:rPr>
          <w:rFonts w:ascii="Tahoma" w:hAnsi="Tahoma" w:eastAsia="Tahoma"/>
          <w:b w:val="0"/>
          <w:i w:val="0"/>
          <w:color w:val="1F3148"/>
          <w:sz w:val="18"/>
        </w:rPr>
        <w:t>ซึ่งมิใช่บริษัทมหาชนจำกัดสำหรับสินทรัพย์ถาวรที่เพิ่มขึ้นเพื่อใช้ในการพัฒนาเศรษฐกิจและ</w:t>
      </w:r>
      <w:r>
        <w:rPr>
          <w:rFonts w:ascii="Tahoma" w:hAnsi="Tahoma" w:eastAsia="Tahoma"/>
          <w:b w:val="0"/>
          <w:i w:val="0"/>
          <w:color w:val="1F3148"/>
          <w:sz w:val="18"/>
        </w:rPr>
        <w:t>สังคม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รวมทั้งจำนวนเงินที่ใช้จ่ายเพื่อการนี้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และเสนอสภาเพื่อพิจารณา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พิจารณาแผนงานและโครงการพัฒนาของกระทรวง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ทบวง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หรือส่วนราชการที่เรียกเชื่ออย่างอื่น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ที่มีฐานะเป็นกรม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และของรัฐวิสาหกิจที่มีมูลค่าตามที่คณะรัฐมนตรีกำหนด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รวมทั้งประสานแผนงานและโครงการพัฒนาดังกล่าว</w:t>
      </w:r>
      <w:r>
        <w:rPr>
          <w:rFonts w:ascii="Tahoma" w:hAnsi="Tahoma" w:eastAsia="Tahoma"/>
          <w:b w:val="0"/>
          <w:i w:val="0"/>
          <w:color w:val="1F3148"/>
          <w:sz w:val="18"/>
        </w:rPr>
        <w:t>เพื่อวางแผนส่วนรวม</w:t>
      </w:r>
      <w:r>
        <w:rPr>
          <w:rFonts w:ascii="Tahoma" w:hAnsi="Tahoma" w:eastAsia="Tahoma"/>
          <w:b w:val="0"/>
          <w:i w:val="0"/>
          <w:color w:val="1F3148"/>
          <w:sz w:val="18"/>
        </w:rPr>
        <w:t>ให้สอดคล้องกับแผนพัฒนาเศรษฐกิจและสังคมแห่งชาติ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สนับสนุนและประสานงานกับส่วนราชการ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รัฐวิสาหกิจ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และภาคีที่เกี่ยวข้องในการจัดทำแผน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แผนงาน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และโครงการพัฒนา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และการขับเคลื่อนการ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ปฏิบัติงานตามแผน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ติดตามและประเมินผลการดำเนินการตามแผนพัฒนาเศรษฐกิจและสังคมแห่งชาติ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นโยบาย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แผน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แผนงาน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และโครงการพัฒนาที่มีผลกระทบในวง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กว้างต่อการพัฒนาประเทศในภาพรวม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รวมทั้งให้คำแนะนำเกี่ยวกับการเร่งรัด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ปรับปรุง</w:t>
      </w:r>
      <w:r>
        <w:rPr>
          <w:rFonts w:ascii="Tahoma" w:hAnsi="Tahoma" w:eastAsia="Tahoma"/>
          <w:b w:val="0"/>
          <w:i w:val="0"/>
          <w:color w:val="1F3148"/>
          <w:sz w:val="18"/>
        </w:rPr>
        <w:t>หรือเลิกล้มโครงการพัฒนาอันหนึ่งอันใดเมื่อเห็นสมควร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ขอให้หน่วยงานของรัฐเสนอแผนงานและโครงการพัฒนา</w:t>
      </w:r>
      <w:r>
        <w:rPr>
          <w:rFonts w:ascii="Tahoma" w:hAnsi="Tahoma" w:eastAsia="Tahoma"/>
          <w:b w:val="0"/>
          <w:i w:val="0"/>
          <w:color w:val="1F3148"/>
          <w:sz w:val="18"/>
        </w:rPr>
        <w:t>ข้อเท็จจริง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ตลอดจนรายละเอียดที่จำเป็นแก่การศึกษาภาวะเศรษฐกิจและสังคมของ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ประเทศหรือการพิจารณาผลงานของโครงการพัฒนาที่กำลังดำเนินการอยู่</w:t>
      </w:r>
      <w:r>
        <w:rPr>
          <w:rFonts w:ascii="Tahoma" w:hAnsi="Tahoma" w:eastAsia="Tahoma"/>
          <w:b w:val="0"/>
          <w:i w:val="0"/>
          <w:color w:val="1F3148"/>
          <w:sz w:val="18"/>
        </w:rPr>
        <w:t>หรือเชิญบุคคลหนึ่งบุคคลใดมาให้ข้อเท็จจริง</w:t>
      </w:r>
      <w:r>
        <w:rPr>
          <w:rFonts w:ascii="Tahoma" w:hAnsi="Tahoma" w:eastAsia="Tahoma"/>
          <w:b w:val="0"/>
          <w:i w:val="0"/>
          <w:color w:val="1F3148"/>
          <w:sz w:val="18"/>
        </w:rPr>
        <w:t>คำอธิบาย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ความเห็น</w:t>
      </w:r>
      <w:r>
        <w:rPr>
          <w:rFonts w:ascii="Tahoma" w:hAnsi="Tahoma" w:eastAsia="Tahoma"/>
          <w:b w:val="0"/>
          <w:i w:val="0"/>
          <w:color w:val="1F3148"/>
          <w:sz w:val="18"/>
        </w:rPr>
        <w:t>หรือ</w:t>
      </w:r>
      <w:r>
        <w:rPr>
          <w:rFonts w:ascii="Tahoma" w:hAnsi="Tahoma" w:eastAsia="Tahoma"/>
          <w:b w:val="0"/>
          <w:i w:val="0"/>
          <w:color w:val="1F3148"/>
          <w:sz w:val="18"/>
        </w:rPr>
        <w:t>คำแนะนำได้เมื่อเห็นสมควร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• </w:t>
      </w:r>
      <w:r>
        <w:rPr>
          <w:rFonts w:ascii="Tahoma" w:hAnsi="Tahoma" w:eastAsia="Tahoma"/>
          <w:b w:val="0"/>
          <w:i w:val="0"/>
          <w:color w:val="1F3148"/>
          <w:sz w:val="18"/>
        </w:rPr>
        <w:t>ปฏิบัติการอื่นตามที่บัญญัติไว้ในพระราชบัญญัตินี้</w:t>
      </w:r>
      <w:r>
        <w:rPr>
          <w:rFonts w:ascii="Tahoma" w:hAnsi="Tahoma" w:eastAsia="Tahoma"/>
          <w:b w:val="0"/>
          <w:i w:val="0"/>
          <w:color w:val="1F3148"/>
          <w:sz w:val="18"/>
        </w:rPr>
        <w:t>กฎหมายอื่น</w:t>
      </w:r>
      <w:r>
        <w:rPr>
          <w:rFonts w:ascii="Tahoma" w:hAnsi="Tahoma" w:eastAsia="Tahoma"/>
          <w:b w:val="0"/>
          <w:i w:val="0"/>
          <w:color w:val="1F3148"/>
          <w:sz w:val="18"/>
        </w:rPr>
        <w:t>หรือตามที่คณะรัฐมนตรีนายกรัฐมนตรี</w:t>
      </w:r>
      <w:r>
        <w:rPr>
          <w:rFonts w:ascii="Tahoma" w:hAnsi="Tahoma" w:eastAsia="Tahoma"/>
          <w:b w:val="0"/>
          <w:i w:val="0"/>
          <w:color w:val="1F3148"/>
          <w:sz w:val="18"/>
        </w:rPr>
        <w:t>หรือสภามอบหมาย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รวมทั้งออกระเบียบใน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ส่วนที่เกี่ยวข้องตามความจำเป็น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8: </w:t>
      </w:r>
      <w:r>
        <w:rPr>
          <w:rFonts w:ascii="Tahoma" w:hAnsi="Tahoma" w:eastAsia="Tahoma"/>
          <w:b/>
          <w:i w:val="0"/>
          <w:color w:val="27466A"/>
          <w:sz w:val="18"/>
        </w:rPr>
        <w:t>ไฟล์ยุทธศาสตร์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9: </w:t>
      </w:r>
      <w:r>
        <w:rPr>
          <w:rFonts w:ascii="Tahoma" w:hAnsi="Tahoma" w:eastAsia="Tahoma"/>
          <w:b/>
          <w:i w:val="0"/>
          <w:color w:val="27466A"/>
          <w:sz w:val="18"/>
        </w:rPr>
        <w:t>ไฟล์โครงสร้างองค์กร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72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300" w:lineRule="auto" w:before="164" w:after="156"/>
        <w:ind w:left="166" w:right="6192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10-38: </w:t>
      </w:r>
      <w:r>
        <w:rPr>
          <w:rFonts w:ascii="Tahoma" w:hAnsi="Tahoma" w:eastAsia="Tahoma"/>
          <w:b/>
          <w:i w:val="0"/>
          <w:color w:val="24486F"/>
          <w:sz w:val="21"/>
        </w:rPr>
        <w:t>ข้าราชการ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บริหาร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S2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>)</w:t>
      </w:r>
      <w:r>
        <w:br/>
      </w: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โครงสร้างบุคลากร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591"/>
        <w:gridCol w:w="1591"/>
        <w:gridCol w:w="1591"/>
        <w:gridCol w:w="1591"/>
        <w:gridCol w:w="1591"/>
        <w:gridCol w:w="1591"/>
        <w:gridCol w:w="1591"/>
      </w:tblGrid>
      <w:tr>
        <w:trPr>
          <w:trHeight w:hRule="exact" w:val="42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4"/>
              </w:trPr>
              <w:tc>
                <w:tcPr>
                  <w:tcW w:type="dxa" w:w="13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ข้าราชการ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430"/>
            </w:tblGrid>
            <w:tr>
              <w:trPr>
                <w:trHeight w:hRule="exact" w:val="354"/>
              </w:trPr>
              <w:tc>
                <w:tcPr>
                  <w:tcW w:type="dxa" w:w="139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พนักงานราชการ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2"/>
            <w:gridSpan w:val="2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4.0000000000005" w:type="dxa"/>
            </w:tblPr>
            <w:tblGrid>
              <w:gridCol w:w="3032"/>
            </w:tblGrid>
            <w:tr>
              <w:trPr>
                <w:trHeight w:hRule="exact" w:val="354"/>
              </w:trPr>
              <w:tc>
                <w:tcPr>
                  <w:tcW w:type="dxa" w:w="12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ลูกจ้าง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8"/>
            </w:tblGrid>
            <w:tr>
              <w:trPr>
                <w:trHeight w:hRule="exact" w:val="354"/>
              </w:trPr>
              <w:tc>
                <w:tcPr>
                  <w:tcW w:type="dxa" w:w="250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อื่น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2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529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7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94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8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18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25</w:t>
            </w:r>
          </w:p>
        </w:tc>
      </w:tr>
      <w:tr>
        <w:trPr>
          <w:trHeight w:hRule="exact" w:val="54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0"/>
              </w:trPr>
              <w:tc>
                <w:tcPr>
                  <w:tcW w:type="dxa" w:w="140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430"/>
            </w:tblGrid>
            <w:tr>
              <w:trPr>
                <w:trHeight w:hRule="exact" w:val="350"/>
              </w:trPr>
              <w:tc>
                <w:tcPr>
                  <w:tcW w:type="dxa" w:w="113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31-40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2"/>
            <w:gridSpan w:val="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4.0000000000005" w:type="dxa"/>
            </w:tblPr>
            <w:tblGrid>
              <w:gridCol w:w="3032"/>
            </w:tblGrid>
            <w:tr>
              <w:trPr>
                <w:trHeight w:hRule="exact" w:val="350"/>
              </w:trPr>
              <w:tc>
                <w:tcPr>
                  <w:tcW w:type="dxa" w:w="129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41-50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8"/>
            </w:tblGrid>
            <w:tr>
              <w:trPr>
                <w:trHeight w:hRule="exact" w:val="352"/>
              </w:trPr>
              <w:tc>
                <w:tcPr>
                  <w:tcW w:type="dxa" w:w="2372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8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51-60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8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147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9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152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124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06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106</w:t>
            </w:r>
          </w:p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6"/>
              </w:trPr>
              <w:tc>
                <w:tcPr>
                  <w:tcW w:type="dxa" w:w="13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430"/>
            </w:tblGrid>
            <w:tr>
              <w:trPr>
                <w:trHeight w:hRule="exact" w:val="356"/>
              </w:trPr>
              <w:tc>
                <w:tcPr>
                  <w:tcW w:type="dxa" w:w="10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1-5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2"/>
            <w:gridSpan w:val="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4.0000000000005" w:type="dxa"/>
            </w:tblPr>
            <w:tblGrid>
              <w:gridCol w:w="3032"/>
            </w:tblGrid>
            <w:tr>
              <w:trPr>
                <w:trHeight w:hRule="exact" w:val="356"/>
              </w:trPr>
              <w:tc>
                <w:tcPr>
                  <w:tcW w:type="dxa" w:w="125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6-10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8"/>
            </w:tblGrid>
            <w:tr>
              <w:trPr>
                <w:trHeight w:hRule="exact" w:val="356"/>
              </w:trPr>
              <w:tc>
                <w:tcPr>
                  <w:tcW w:type="dxa" w:w="2372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11-15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47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9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129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105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14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56</w:t>
            </w:r>
          </w:p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2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16-20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430"/>
            </w:tblGrid>
            <w:tr>
              <w:trPr>
                <w:trHeight w:hRule="exact" w:val="358"/>
              </w:trPr>
              <w:tc>
                <w:tcPr>
                  <w:tcW w:type="dxa" w:w="113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21-25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2"/>
            <w:gridSpan w:val="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4.0000000000005" w:type="dxa"/>
            </w:tblPr>
            <w:tblGrid>
              <w:gridCol w:w="3032"/>
            </w:tblGrid>
            <w:tr>
              <w:trPr>
                <w:trHeight w:hRule="exact" w:val="358"/>
              </w:trPr>
              <w:tc>
                <w:tcPr>
                  <w:tcW w:type="dxa" w:w="129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26-30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8"/>
            </w:tblGrid>
            <w:tr>
              <w:trPr>
                <w:trHeight w:hRule="exact" w:val="358"/>
              </w:trPr>
              <w:tc>
                <w:tcPr>
                  <w:tcW w:type="dxa" w:w="2372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ปีขึ้นไป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73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7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39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8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48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32</w:t>
            </w:r>
          </w:p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3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430"/>
            </w:tblGrid>
            <w:tr>
              <w:trPr>
                <w:trHeight w:hRule="exact" w:val="358"/>
              </w:trPr>
              <w:tc>
                <w:tcPr>
                  <w:tcW w:type="dxa" w:w="117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2"/>
            <w:gridSpan w:val="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4.0000000000005" w:type="dxa"/>
            </w:tblPr>
            <w:tblGrid>
              <w:gridCol w:w="3032"/>
            </w:tblGrid>
            <w:tr>
              <w:trPr>
                <w:trHeight w:hRule="exact" w:val="358"/>
              </w:trPr>
              <w:tc>
                <w:tcPr>
                  <w:tcW w:type="dxa" w:w="13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08"/>
            </w:tblGrid>
            <w:tr>
              <w:trPr>
                <w:trHeight w:hRule="exact" w:val="358"/>
              </w:trPr>
              <w:tc>
                <w:tcPr>
                  <w:tcW w:type="dxa" w:w="2372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8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11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7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39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55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2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920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2430"/>
            </w:tblGrid>
            <w:tr>
              <w:trPr>
                <w:trHeight w:hRule="exact" w:val="358"/>
              </w:trPr>
              <w:tc>
                <w:tcPr>
                  <w:tcW w:type="dxa" w:w="1784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74"/>
            <w:tcBorders>
              <w:top w:sz="6.0" w:val="single" w:color="#D6DEEB"/>
              <w:end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74"/>
            </w:tblGrid>
            <w:tr>
              <w:trPr>
                <w:trHeight w:hRule="exact" w:val="358"/>
              </w:trPr>
              <w:tc>
                <w:tcPr>
                  <w:tcW w:type="dxa" w:w="9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58"/>
            <w:tcBorders>
              <w:start w:sz="6.0" w:val="single" w:color="#D6DEEB"/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5" w:type="dxa"/>
            </w:tblPr>
            <w:tblGrid>
              <w:gridCol w:w="2058"/>
            </w:tblGrid>
            <w:tr>
              <w:trPr>
                <w:trHeight w:hRule="exact" w:val="358"/>
              </w:trPr>
              <w:tc>
                <w:tcPr>
                  <w:tcW w:type="dxa" w:w="8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2.00000000000045" w:type="dxa"/>
            </w:tblPr>
            <w:tblGrid>
              <w:gridCol w:w="2508"/>
            </w:tblGrid>
            <w:tr>
              <w:trPr>
                <w:trHeight w:hRule="exact" w:val="358"/>
              </w:trPr>
              <w:tc>
                <w:tcPr>
                  <w:tcW w:type="dxa" w:w="1920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1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65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185</w:t>
            </w:r>
          </w:p>
        </w:tc>
        <w:tc>
          <w:tcPr>
            <w:tcW w:type="dxa" w:w="243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132</w:t>
            </w:r>
          </w:p>
        </w:tc>
        <w:tc>
          <w:tcPr>
            <w:tcW w:type="dxa" w:w="3032"/>
            <w:gridSpan w:val="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7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109</w:t>
            </w:r>
          </w:p>
        </w:tc>
        <w:tc>
          <w:tcPr>
            <w:tcW w:type="dxa" w:w="53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21</w:t>
            </w:r>
          </w:p>
        </w:tc>
        <w:tc>
          <w:tcPr>
            <w:tcW w:type="dxa" w:w="34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52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</w:t>
            </w:r>
          </w:p>
        </w:tc>
      </w:tr>
      <w:tr>
        <w:trPr>
          <w:trHeight w:hRule="exact" w:val="1126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4"/>
              </w:trPr>
              <w:tc>
                <w:tcPr>
                  <w:tcW w:type="dxa" w:w="138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M1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3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6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3032"/>
            <w:gridSpan w:val="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4.0000000000003" w:type="dxa"/>
            </w:tblPr>
            <w:tblGrid>
              <w:gridCol w:w="3032"/>
            </w:tblGrid>
            <w:tr>
              <w:trPr>
                <w:trHeight w:hRule="exact" w:val="134"/>
              </w:trPr>
              <w:tc>
                <w:tcPr>
                  <w:tcW w:type="dxa" w:w="16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20"/>
              </w:trPr>
              <w:tc>
                <w:tcPr>
                  <w:tcW w:type="dxa" w:w="1638"/>
                  <w:tcBorders>
                    <w:start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2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M2</w:t>
                  </w:r>
                </w:p>
              </w:tc>
            </w:tr>
            <w:tr>
              <w:trPr>
                <w:trHeight w:hRule="exact" w:val="116"/>
              </w:trPr>
              <w:tc>
                <w:tcPr>
                  <w:tcW w:type="dxa" w:w="163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21</w:t>
            </w:r>
          </w:p>
        </w:tc>
        <w:tc>
          <w:tcPr>
            <w:tcW w:type="dxa" w:w="250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10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6"/>
              </w:trPr>
              <w:tc>
                <w:tcPr>
                  <w:tcW w:type="dxa" w:w="122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S1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61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3032"/>
            <w:gridSpan w:val="2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4.0000000000003" w:type="dxa"/>
            </w:tblPr>
            <w:tblGrid>
              <w:gridCol w:w="3032"/>
            </w:tblGrid>
            <w:tr>
              <w:trPr>
                <w:trHeight w:hRule="exact" w:val="856"/>
              </w:trPr>
              <w:tc>
                <w:tcPr>
                  <w:tcW w:type="dxa" w:w="1458"/>
                  <w:tcBorders>
                    <w:start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22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S2</w:t>
                  </w:r>
                </w:p>
              </w:tc>
            </w:tr>
            <w:tr>
              <w:trPr>
                <w:trHeight w:hRule="exact" w:val="114"/>
              </w:trPr>
              <w:tc>
                <w:tcPr>
                  <w:tcW w:type="dxa" w:w="145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7</w:t>
            </w:r>
          </w:p>
        </w:tc>
        <w:tc>
          <w:tcPr>
            <w:tcW w:type="dxa" w:w="250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auto" w:before="282" w:after="184"/>
        <w:ind w:left="166" w:right="5472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39-58: </w:t>
      </w:r>
      <w:r>
        <w:rPr>
          <w:rFonts w:ascii="Tahoma" w:hAnsi="Tahoma" w:eastAsia="Tahoma"/>
          <w:b/>
          <w:i w:val="0"/>
          <w:color w:val="24486F"/>
          <w:sz w:val="21"/>
        </w:rPr>
        <w:t>ต้นปี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2564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อัตราลาออก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2568 (%)</w:t>
      </w:r>
      <w:r>
        <w:br/>
      </w: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การลาออกและโอนย้ายย้อนหลัง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5 </w:t>
      </w:r>
      <w:r>
        <w:rPr>
          <w:rFonts w:ascii="Tahoma" w:hAnsi="Tahoma" w:eastAsia="Tahoma"/>
          <w:b/>
          <w:i w:val="0"/>
          <w:color w:val="24486F"/>
          <w:sz w:val="21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856"/>
        <w:gridCol w:w="1856"/>
        <w:gridCol w:w="1856"/>
        <w:gridCol w:w="1856"/>
        <w:gridCol w:w="1856"/>
        <w:gridCol w:w="1856"/>
      </w:tblGrid>
      <w:tr>
        <w:trPr>
          <w:trHeight w:hRule="exact" w:val="476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2564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2565</w:t>
            </w:r>
          </w:p>
        </w:tc>
        <w:tc>
          <w:tcPr>
            <w:tcW w:type="dxa" w:w="178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68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2566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2567</w:t>
            </w:r>
          </w:p>
        </w:tc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4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2568</w:t>
            </w:r>
          </w:p>
        </w:tc>
      </w:tr>
      <w:tr>
        <w:trPr>
          <w:trHeight w:hRule="exact" w:val="30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555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510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537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539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7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545</w:t>
            </w:r>
          </w:p>
        </w:tc>
      </w:tr>
      <w:tr>
        <w:trPr>
          <w:trHeight w:hRule="exact" w:val="34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ต้นปี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(1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ค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98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524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551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559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560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7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529</w:t>
            </w:r>
          </w:p>
        </w:tc>
      </w:tr>
      <w:tr>
        <w:trPr>
          <w:trHeight w:hRule="exact" w:val="338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ปลายปี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(30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ย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40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56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48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44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57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76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40</w:t>
            </w:r>
          </w:p>
        </w:tc>
      </w:tr>
      <w:tr>
        <w:trPr>
          <w:trHeight w:hRule="exact" w:val="33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ลาออกและโอนย้าย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956"/>
        </w:trPr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อัตราลาออก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(%)</w:t>
            </w:r>
          </w:p>
        </w:tc>
        <w:tc>
          <w:tcPr>
            <w:tcW w:type="dxa" w:w="14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10.38%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9.05%</w:t>
            </w:r>
          </w:p>
        </w:tc>
        <w:tc>
          <w:tcPr>
            <w:tcW w:type="dxa" w:w="178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8.03%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23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10.37%</w:t>
            </w:r>
          </w:p>
        </w:tc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516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7.45%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59: </w:t>
      </w:r>
      <w:r>
        <w:rPr>
          <w:rFonts w:ascii="Tahoma" w:hAnsi="Tahoma" w:eastAsia="Tahoma"/>
          <w:b/>
          <w:i w:val="0"/>
          <w:color w:val="27466A"/>
          <w:sz w:val="18"/>
        </w:rPr>
        <w:t>นโยบายที่เกี่ยวข้อง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สศช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ได้จัดทำแผนพัฒนาบุคลากร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ศ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2566 – 2570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โดยกำหนดบทบาทการขับเคลื่อนการดำเนินการให้เป็นไปตามที่สำนักงาน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.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กำหนด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ดังนี้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4"/>
        </w:trPr>
        <w:tc>
          <w:tcPr>
            <w:tcW w:type="dxa" w:w="90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-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สนับสนุนให้เกิดสภาพแวดล้อมองค์กรที่ส่งเสริมการเรียนรู้และพัฒนา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และการแลกเปลี่ยนเรียนรู้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8"/>
        </w:trPr>
        <w:tc>
          <w:tcPr>
            <w:tcW w:type="dxa" w:w="107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-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กำหนดให้มีรูปแบบการพัฒนาที่หลากหลายและยืดหยุ่น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เพื่อให้บุคลากรทุกหน่วยงานได้รับการพัฒนาในทักษะและความรู้ที่จำเป็นต่อการปฏิบัติ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52"/>
        </w:trPr>
        <w:tc>
          <w:tcPr>
            <w:tcW w:type="dxa" w:w="666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7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งานอย่างเพียงพอและต่อเนื่อง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0"/>
        </w:trPr>
        <w:tc>
          <w:tcPr>
            <w:tcW w:type="dxa" w:w="103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-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เปิดรับฟังความคิดเห็นจากบุคลากรเกี่ยวกับความต้องการพัฒนา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เพื่อนำข้อมูลไปใช้ในการปรับปรุงแผนพัฒนาบุคลากรอย่างต่อเนื่อง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1036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-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ำหนดกรอบความสามารถในแต่ละด้านที่แตกต่างกันตามบทบาทหน้าที่และความรับผิดชอบของบุคลากรแต่ละกลุ่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ทั้งกรอบความคิด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2"/>
        </w:trPr>
        <w:tc>
          <w:tcPr>
            <w:tcW w:type="dxa" w:w="892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(Mindsets)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และทักษะ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(Skills)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ตามภารกิจของหน่วยงานเพื่อการปฏิบัติงานที่มีประสิทธิภาพสูง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266"/>
        </w:trPr>
        <w:tc>
          <w:tcPr>
            <w:tcW w:type="dxa" w:w="1068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-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สนับสนุนให้บุคลากรมีความพร้อมในการเปิดรับสิ่งใหม่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Growth Mindset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มีความฉลาดทางอารมณ์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และมีความกระตือรือร้นในการเรียนรู้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6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ตลอดชีวิต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ให้สามารถขับเคลื่อนองค์กรสู่การเป็นคลังสมองเชิงยุทธศาสตร์ที่ทันสมัยและตอบโจทย์การพัฒนาประเทศในระยะยาว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60: </w:t>
      </w:r>
      <w:r>
        <w:rPr>
          <w:rFonts w:ascii="Tahoma" w:hAnsi="Tahoma" w:eastAsia="Tahoma"/>
          <w:b/>
          <w:i w:val="0"/>
          <w:color w:val="27466A"/>
          <w:sz w:val="18"/>
        </w:rPr>
        <w:t>บริบทภายนอก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ความท้าทาย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90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-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สศช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ต้องเผชิญกับความเปลี่ยนแปลงที่ไม่สามารถคาดการณ์ได้ล่วงหน้า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ทำให้การดำเนินงานจำเป็นต้องมีเป้าหมายที่ชัดเจนเพื่อสร้างความสมดุล</w:t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และความยั่งยืน</w:t>
      </w:r>
    </w:p>
    <w:p>
      <w:pPr>
        <w:autoSpaceDN w:val="0"/>
        <w:autoSpaceDE w:val="0"/>
        <w:widowControl/>
        <w:spacing w:line="247" w:lineRule="auto" w:before="24" w:after="0"/>
        <w:ind w:left="332" w:right="288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สศช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 </w:t>
      </w:r>
      <w:r>
        <w:rPr>
          <w:rFonts w:ascii="Tahoma" w:hAnsi="Tahoma" w:eastAsia="Tahoma"/>
          <w:b w:val="0"/>
          <w:i w:val="0"/>
          <w:color w:val="1F3148"/>
          <w:sz w:val="18"/>
        </w:rPr>
        <w:t>ต้องทำงานต้องเชื่อมโยงในหลายมิติ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ทั้งด้านเศรษฐกิจ</w:t>
      </w:r>
      <w:r>
        <w:rPr>
          <w:rFonts w:ascii="Tahoma" w:hAnsi="Tahoma" w:eastAsia="Tahoma"/>
          <w:b w:val="0"/>
          <w:i w:val="0"/>
          <w:color w:val="1F3148"/>
          <w:sz w:val="18"/>
        </w:rPr>
        <w:t>สังคม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และสิ่งแวดล้อม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รวมถึงเสริมสร้างเครือข่ายความร่วมมือที่มีประสิทธิภาพทั้งใน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ระดับพื้นที่และระดับประเทศ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โดยบุคลากรของ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สศช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 </w:t>
      </w:r>
      <w:r>
        <w:rPr>
          <w:rFonts w:ascii="Tahoma" w:hAnsi="Tahoma" w:eastAsia="Tahoma"/>
          <w:b w:val="0"/>
          <w:i w:val="0"/>
          <w:color w:val="1F3148"/>
          <w:sz w:val="18"/>
        </w:rPr>
        <w:t>ต้องมีความรู้เชิงลึกและเชิงกว้างเพื่อรองรับภารกิจที่ซับซ้อน</w:t>
      </w:r>
    </w:p>
    <w:p>
      <w:pPr>
        <w:autoSpaceDN w:val="0"/>
        <w:autoSpaceDE w:val="0"/>
        <w:widowControl/>
        <w:spacing w:line="240" w:lineRule="auto" w:before="30" w:after="0"/>
        <w:ind w:left="332" w:right="0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สศช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 </w:t>
      </w:r>
      <w:r>
        <w:rPr>
          <w:rFonts w:ascii="Tahoma" w:hAnsi="Tahoma" w:eastAsia="Tahoma"/>
          <w:b w:val="0"/>
          <w:i w:val="0"/>
          <w:color w:val="1F3148"/>
          <w:sz w:val="18"/>
        </w:rPr>
        <w:t>เผชิญกับปัญหาด้านกำลังคนที่มีสมรรถนะไม่เพียงพอ</w:t>
      </w:r>
      <w:r>
        <w:rPr>
          <w:rFonts w:ascii="Tahoma" w:hAnsi="Tahoma" w:eastAsia="Tahoma"/>
          <w:b w:val="0"/>
          <w:i w:val="0"/>
          <w:color w:val="1F3148"/>
          <w:sz w:val="18"/>
        </w:rPr>
        <w:t>ทำให้ภาระงานกระจุกตัวอยู่กับบุคลากรบางกลุ่ม</w:t>
      </w:r>
      <w:r>
        <w:rPr>
          <w:rFonts w:ascii="Tahoma" w:hAnsi="Tahoma" w:eastAsia="Tahoma"/>
          <w:b w:val="0"/>
          <w:i w:val="0"/>
          <w:color w:val="1F3148"/>
          <w:sz w:val="18"/>
        </w:rPr>
        <w:t>นอกจากนี้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การทำงานระหว่างกอง</w:t>
      </w:r>
    </w:p>
    <w:p>
      <w:pPr>
        <w:autoSpaceDN w:val="0"/>
        <w:autoSpaceDE w:val="0"/>
        <w:widowControl/>
        <w:spacing w:line="250" w:lineRule="auto" w:before="22" w:after="0"/>
        <w:ind w:left="0" w:right="0" w:firstLine="0"/>
        <w:jc w:val="center"/>
      </w:pPr>
      <w:r>
        <w:rPr>
          <w:rFonts w:ascii="Tahoma" w:hAnsi="Tahoma" w:eastAsia="Tahoma"/>
          <w:b w:val="0"/>
          <w:i w:val="0"/>
          <w:color w:val="1F3148"/>
          <w:sz w:val="18"/>
        </w:rPr>
        <w:t>และสำนักยังขาดการบูรณาการ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ขณะที่อัตราการลาออกของบุคลากรระดับปฏิบัติการที่สูง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รวมถึงความไม่สมดุลระหว่างงานและชีวิต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ส่งผลกระทบต่อ</w:t>
      </w:r>
    </w:p>
    <w:p>
      <w:pPr>
        <w:autoSpaceDN w:val="0"/>
        <w:autoSpaceDE w:val="0"/>
        <w:widowControl/>
        <w:spacing w:line="250" w:lineRule="auto" w:before="44" w:after="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ประสิทธิภาพขององค์กรในระยะยาว</w:t>
      </w:r>
    </w:p>
    <w:p>
      <w:pPr>
        <w:autoSpaceDN w:val="0"/>
        <w:autoSpaceDE w:val="0"/>
        <w:widowControl/>
        <w:spacing w:line="240" w:lineRule="auto" w:before="22" w:after="0"/>
        <w:ind w:left="332" w:right="0" w:firstLine="0"/>
        <w:jc w:val="left"/>
      </w:pP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- </w:t>
      </w:r>
      <w:r>
        <w:rPr>
          <w:rFonts w:ascii="Tahoma" w:hAnsi="Tahoma" w:eastAsia="Tahoma"/>
          <w:b w:val="0"/>
          <w:i w:val="0"/>
          <w:color w:val="1F3148"/>
          <w:sz w:val="18"/>
        </w:rPr>
        <w:t>สศช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. </w:t>
      </w:r>
      <w:r>
        <w:rPr>
          <w:rFonts w:ascii="Tahoma" w:hAnsi="Tahoma" w:eastAsia="Tahoma"/>
          <w:b w:val="0"/>
          <w:i w:val="0"/>
          <w:color w:val="1F3148"/>
          <w:sz w:val="18"/>
        </w:rPr>
        <w:t>ต้องเผชิญกับอุปสรรคสำคัญ</w:t>
      </w:r>
      <w:r>
        <w:rPr>
          <w:rFonts w:ascii="Tahoma" w:hAnsi="Tahoma" w:eastAsia="Tahoma"/>
          <w:b w:val="0"/>
          <w:i w:val="0"/>
          <w:color w:val="1F3148"/>
          <w:sz w:val="18"/>
        </w:rPr>
        <w:t>ได้แก่</w:t>
      </w:r>
      <w:r>
        <w:rPr>
          <w:rFonts w:ascii="Tahoma" w:hAnsi="Tahoma" w:eastAsia="Tahoma"/>
          <w:b w:val="0"/>
          <w:i w:val="0"/>
          <w:color w:val="1F3148"/>
          <w:sz w:val="18"/>
        </w:rPr>
        <w:t>ความไม่แน่นอนทางการเมืองที่ทำให้การขับเคลื่อนนโยบายขาดความต่อเนื่อง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ปัจจัยด้านภูมิรัฐศาสตร์ที่</w:t>
      </w:r>
    </w:p>
    <w:p>
      <w:pPr>
        <w:autoSpaceDN w:val="0"/>
        <w:autoSpaceDE w:val="0"/>
        <w:widowControl/>
        <w:spacing w:line="250" w:lineRule="auto" w:before="22" w:after="20"/>
        <w:ind w:left="332" w:right="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เปลี่ยนแปลงอย่างรวดเร็ว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รวมถึงข้อจำกัดด้านกฎระเบียบราชการที่ส่งผลต่อการจัดสรรกำลังคนและงบประมาณ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318"/>
        </w:trPr>
        <w:tc>
          <w:tcPr>
            <w:tcW w:type="dxa" w:w="974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7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-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สศช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ต้องเผชิญกับปัญหาสิ่งแวดล้อม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เช่น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การเปลี่ยนแปลงสภาพภูมิอากาศและมลพิษ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เป็นปัจจัยที่ต้องเตรียมรับมือ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" w:type="dxa"/>
      </w:tblPr>
      <w:tblGrid>
        <w:gridCol w:w="11136"/>
      </w:tblGrid>
      <w:tr>
        <w:trPr>
          <w:trHeight w:hRule="exact" w:val="316"/>
        </w:trPr>
        <w:tc>
          <w:tcPr>
            <w:tcW w:type="dxa" w:w="10700"/>
            <w:tcBorders/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สศช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จำเป็นต้องเร่งพัฒนาระบบการบริหารทรัพยากรบุคคลที่มีประสิทธิภาพ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ส่งเสริมการเรียนรู้ดิจิทัล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และเสริมสร้างขีดความสามารถของบุคลากร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4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เพื่อให้สามารถตอบสนองต่อความท้าทายและขับเคลื่อนนโยบายแห่งชาติได้อย่างยั่งยืน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ประเภทรายงานโรค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62: </w:t>
      </w:r>
      <w:r>
        <w:rPr>
          <w:rFonts w:ascii="Tahoma" w:hAnsi="Tahoma" w:eastAsia="Tahoma"/>
          <w:b/>
          <w:i w:val="0"/>
          <w:color w:val="27466A"/>
          <w:sz w:val="18"/>
        </w:rPr>
        <w:t>เบาหวาน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63: </w:t>
      </w:r>
      <w:r>
        <w:rPr>
          <w:rFonts w:ascii="Tahoma" w:hAnsi="Tahoma" w:eastAsia="Tahoma"/>
          <w:b/>
          <w:i w:val="0"/>
          <w:color w:val="27466A"/>
          <w:sz w:val="18"/>
        </w:rPr>
        <w:t>ความดันโลหิตสูง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64: </w:t>
      </w:r>
      <w:r>
        <w:rPr>
          <w:rFonts w:ascii="Tahoma" w:hAnsi="Tahoma" w:eastAsia="Tahoma"/>
          <w:b/>
          <w:i w:val="0"/>
          <w:color w:val="27466A"/>
          <w:sz w:val="18"/>
        </w:rPr>
        <w:t>โรคหัวใจและหลอดเลือด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65: </w:t>
      </w:r>
      <w:r>
        <w:rPr>
          <w:rFonts w:ascii="Tahoma" w:hAnsi="Tahoma" w:eastAsia="Tahoma"/>
          <w:b/>
          <w:i w:val="0"/>
          <w:color w:val="27466A"/>
          <w:sz w:val="18"/>
        </w:rPr>
        <w:t>โรคไต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66: </w:t>
      </w:r>
      <w:r>
        <w:rPr>
          <w:rFonts w:ascii="Tahoma" w:hAnsi="Tahoma" w:eastAsia="Tahoma"/>
          <w:b/>
          <w:i w:val="0"/>
          <w:color w:val="27466A"/>
          <w:sz w:val="18"/>
        </w:rPr>
        <w:t>โรคตับ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67: </w:t>
      </w:r>
      <w:r>
        <w:rPr>
          <w:rFonts w:ascii="Tahoma" w:hAnsi="Tahoma" w:eastAsia="Tahoma"/>
          <w:b/>
          <w:i w:val="0"/>
          <w:color w:val="27466A"/>
          <w:sz w:val="18"/>
        </w:rPr>
        <w:t>โรคมะเร็ง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68: </w:t>
      </w:r>
      <w:r>
        <w:rPr>
          <w:rFonts w:ascii="Tahoma" w:hAnsi="Tahoma" w:eastAsia="Tahoma"/>
          <w:b/>
          <w:i w:val="0"/>
          <w:color w:val="27466A"/>
          <w:sz w:val="18"/>
        </w:rPr>
        <w:t>ภาวะอ้วน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น้ำหนักเกิน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69: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70: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71: NCD </w:t>
      </w:r>
      <w:r>
        <w:rPr>
          <w:rFonts w:ascii="Tahoma" w:hAnsi="Tahoma" w:eastAsia="Tahoma"/>
          <w:b/>
          <w:i w:val="0"/>
          <w:color w:val="27466A"/>
          <w:sz w:val="18"/>
        </w:rPr>
        <w:t>รวม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72: NCD </w:t>
      </w:r>
      <w:r>
        <w:rPr>
          <w:rFonts w:ascii="Tahoma" w:hAnsi="Tahoma" w:eastAsia="Tahoma"/>
          <w:b/>
          <w:i w:val="0"/>
          <w:color w:val="27466A"/>
          <w:sz w:val="18"/>
        </w:rPr>
        <w:t>ต่อบุคลากร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73: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ประเภทรายงานลาป่วย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all_staff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74: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วันลาป่วยรวม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1,284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75: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1.93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76: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ประเภทรายงานคลินิก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77: </w:t>
      </w:r>
      <w:r>
        <w:rPr>
          <w:rFonts w:ascii="Tahoma" w:hAnsi="Tahoma" w:eastAsia="Tahoma"/>
          <w:b/>
          <w:i w:val="0"/>
          <w:color w:val="27466A"/>
          <w:sz w:val="18"/>
        </w:rPr>
        <w:t>ผู้ใช้คลินิก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78: </w:t>
      </w:r>
      <w:r>
        <w:rPr>
          <w:rFonts w:ascii="Tahoma" w:hAnsi="Tahoma" w:eastAsia="Tahoma"/>
          <w:b/>
          <w:i w:val="0"/>
          <w:color w:val="27466A"/>
          <w:sz w:val="18"/>
        </w:rPr>
        <w:t>อาการที่พบมากสุด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79: </w:t>
      </w:r>
      <w:r>
        <w:rPr>
          <w:rFonts w:ascii="Tahoma" w:hAnsi="Tahoma" w:eastAsia="Tahoma"/>
          <w:b/>
          <w:i w:val="0"/>
          <w:color w:val="27466A"/>
          <w:sz w:val="18"/>
        </w:rPr>
        <w:t>ยาที่ใช้มากสุด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80: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ประเภทรายงานสุขภาพจิต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81: </w:t>
      </w:r>
      <w:r>
        <w:rPr>
          <w:rFonts w:ascii="Tahoma" w:hAnsi="Tahoma" w:eastAsia="Tahoma"/>
          <w:b/>
          <w:i w:val="0"/>
          <w:color w:val="27466A"/>
          <w:sz w:val="18"/>
        </w:rPr>
        <w:t>ภาวะเครียดเรื้อรัง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82: </w:t>
      </w:r>
      <w:r>
        <w:rPr>
          <w:rFonts w:ascii="Tahoma" w:hAnsi="Tahoma" w:eastAsia="Tahoma"/>
          <w:b/>
          <w:i w:val="0"/>
          <w:color w:val="27466A"/>
          <w:sz w:val="18"/>
        </w:rPr>
        <w:t>ภาวะวิตกกังวล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83: </w:t>
      </w:r>
      <w:r>
        <w:rPr>
          <w:rFonts w:ascii="Tahoma" w:hAnsi="Tahoma" w:eastAsia="Tahoma"/>
          <w:b/>
          <w:i w:val="0"/>
          <w:color w:val="27466A"/>
          <w:sz w:val="18"/>
        </w:rPr>
        <w:t>ปัญหาการนอนหลับ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84: </w:t>
      </w:r>
      <w:r>
        <w:rPr>
          <w:rFonts w:ascii="Tahoma" w:hAnsi="Tahoma" w:eastAsia="Tahoma"/>
          <w:b/>
          <w:i w:val="0"/>
          <w:color w:val="27466A"/>
          <w:sz w:val="18"/>
        </w:rPr>
        <w:t>ภาวะหมดไฟ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(Burnout)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85: </w:t>
      </w:r>
      <w:r>
        <w:rPr>
          <w:rFonts w:ascii="Tahoma" w:hAnsi="Tahoma" w:eastAsia="Tahoma"/>
          <w:b/>
          <w:i w:val="0"/>
          <w:color w:val="27466A"/>
          <w:sz w:val="18"/>
        </w:rPr>
        <w:t>ภาวะซึมเศร้า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86: Engagement 2568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87: Engagement 2567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88: Engagement 2566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89: Engagement 2565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90: Engagement 2564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ประเด็น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Engagement </w:t>
      </w:r>
      <w:r>
        <w:rPr>
          <w:rFonts w:ascii="Tahoma" w:hAnsi="Tahoma" w:eastAsia="Tahoma"/>
          <w:b/>
          <w:i w:val="0"/>
          <w:color w:val="27466A"/>
          <w:sz w:val="18"/>
        </w:rPr>
        <w:t>คะแนนต่ำ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92: </w:t>
      </w:r>
      <w:r>
        <w:rPr>
          <w:rFonts w:ascii="Tahoma" w:hAnsi="Tahoma" w:eastAsia="Tahoma"/>
          <w:b/>
          <w:i w:val="0"/>
          <w:color w:val="27466A"/>
          <w:sz w:val="18"/>
        </w:rPr>
        <w:t>ผลสำรวจสุขภาวะอื่นๆ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93: </w:t>
      </w:r>
      <w:r>
        <w:rPr>
          <w:rFonts w:ascii="Tahoma" w:hAnsi="Tahoma" w:eastAsia="Tahoma"/>
          <w:b/>
          <w:i w:val="0"/>
          <w:color w:val="27466A"/>
          <w:sz w:val="18"/>
        </w:rPr>
        <w:t>ระบบพี่เลี้ยง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(Mentoring)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94: </w:t>
      </w:r>
      <w:r>
        <w:rPr>
          <w:rFonts w:ascii="Tahoma" w:hAnsi="Tahoma" w:eastAsia="Tahoma"/>
          <w:b/>
          <w:i w:val="0"/>
          <w:color w:val="27466A"/>
          <w:sz w:val="18"/>
        </w:rPr>
        <w:t>ระบบหมุนเวียนงาน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(Job Rotation)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95: </w:t>
      </w:r>
      <w:r>
        <w:rPr>
          <w:rFonts w:ascii="Tahoma" w:hAnsi="Tahoma" w:eastAsia="Tahoma"/>
          <w:b/>
          <w:i w:val="0"/>
          <w:color w:val="27466A"/>
          <w:sz w:val="18"/>
        </w:rPr>
        <w:t>แผนพัฒนารายบุคคล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(IDP)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96: </w:t>
      </w:r>
      <w:r>
        <w:rPr>
          <w:rFonts w:ascii="Tahoma" w:hAnsi="Tahoma" w:eastAsia="Tahoma"/>
          <w:b/>
          <w:i w:val="0"/>
          <w:color w:val="27466A"/>
          <w:sz w:val="18"/>
        </w:rPr>
        <w:t>เส้นทางความก้าวหน้า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(Career 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97: </w:t>
      </w:r>
      <w:r>
        <w:rPr>
          <w:rFonts w:ascii="Tahoma" w:hAnsi="Tahoma" w:eastAsia="Tahoma"/>
          <w:b/>
          <w:i w:val="0"/>
          <w:color w:val="27466A"/>
          <w:sz w:val="18"/>
        </w:rPr>
        <w:t>ชั่วโมงอบรมเฉลี่ย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98: </w:t>
      </w:r>
      <w:r>
        <w:rPr>
          <w:rFonts w:ascii="Tahoma" w:hAnsi="Tahoma" w:eastAsia="Tahoma"/>
          <w:b/>
          <w:i w:val="0"/>
          <w:color w:val="27466A"/>
          <w:sz w:val="18"/>
        </w:rPr>
        <w:t>ระบบดิจิทัลที่มี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e_doc, e_sign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99: </w:t>
      </w:r>
      <w:r>
        <w:rPr>
          <w:rFonts w:ascii="Tahoma" w:hAnsi="Tahoma" w:eastAsia="Tahoma"/>
          <w:b/>
          <w:i w:val="0"/>
          <w:color w:val="27466A"/>
          <w:sz w:val="18"/>
        </w:rPr>
        <w:t>สถานะ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done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100: </w:t>
      </w:r>
      <w:r>
        <w:rPr>
          <w:rFonts w:ascii="Tahoma" w:hAnsi="Tahoma" w:eastAsia="Tahoma"/>
          <w:b/>
          <w:i w:val="0"/>
          <w:color w:val="27466A"/>
          <w:sz w:val="18"/>
        </w:rPr>
        <w:t>รายละเอียด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มีห้อง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co-working space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ที่ทำให้บุคลากรสามารถทำงานในสถานที่ที่ผ่อนคลายมากขึ้น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101: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การพัฒนาผู้นำรุ่นใหม่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102: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การลดอัตราการลาออก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103: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การพัฒนาศักยภาพด้านดิจิทัล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104: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105: </w:t>
      </w:r>
      <w:r>
        <w:rPr>
          <w:rFonts w:ascii="Tahoma" w:hAnsi="Tahoma" w:eastAsia="Tahoma"/>
          <w:b/>
          <w:i w:val="0"/>
          <w:color w:val="27466A"/>
          <w:sz w:val="18"/>
        </w:rPr>
        <w:t>ข้อเสนอแนะ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Intervention Packages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106: </w:t>
      </w:r>
      <w:r>
        <w:rPr>
          <w:rFonts w:ascii="Tahoma" w:hAnsi="Tahoma" w:eastAsia="Tahoma"/>
          <w:b/>
          <w:i w:val="0"/>
          <w:color w:val="27466A"/>
          <w:sz w:val="18"/>
        </w:rPr>
        <w:t>ผลการปฏิบัติตามแผน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107: </w:t>
      </w:r>
      <w:r>
        <w:rPr>
          <w:rFonts w:ascii="Tahoma" w:hAnsi="Tahoma" w:eastAsia="Tahoma"/>
          <w:b/>
          <w:i w:val="0"/>
          <w:color w:val="27466A"/>
          <w:sz w:val="18"/>
        </w:rPr>
        <w:t>ไฟล์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262" w:right="378" w:bottom="260" w:left="4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