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66" w:lineRule="auto" w:before="94" w:after="0"/>
        <w:ind w:left="196" w:right="360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กรมส่งเสริมวัฒนธรรม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18/03/2569 09:33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hrd.dcp2023@gmail.com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288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01:31:55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กรมส่งเสริมวัฒนธรรม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18/03/2569 09:33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hrd.dcp2023@gmail.com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288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เป็นองค์กรหลักในการส่งเสริมและรักษามรดกภูมิปัญญาทางวัฒนธรรม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เพื่อนำพาสังคมไทยไปสู่การพัฒนาอย่างยั่งยืน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90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ดำเนินการตามกฎหมายว่าด้วยวัฒนธรรมแห่งชาติกฎหมายว่าด้วยภาพยนตร์และวีดิทัศน์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และกฎหมายส่งเสริมและรักษามรดกภูมิปัญญาทาง</w:t>
            </w:r>
          </w:p>
        </w:tc>
      </w:tr>
    </w:tbl>
    <w:p>
      <w:pPr>
        <w:autoSpaceDN w:val="0"/>
        <w:autoSpaceDE w:val="0"/>
        <w:widowControl/>
        <w:spacing w:line="262" w:lineRule="auto" w:before="14" w:after="8"/>
        <w:ind w:left="332" w:right="43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วิจัย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และเผยแพร่องค์ความรู้ทางวัฒนธรรม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สนับสนุน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และพัฒนาศักยภาพการดำเนินงานของสภาวัฒนธรรม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เครือข่ายวัฒนธรรม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และแหล่งเรียนรู้ทางวัฒนธรรม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เป็นศูนย์กลางในการศึกษา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รวบรวม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เผยแพร่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และให้บริการสารสนเทศและกิจกรรมทางวัฒนธรรม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5)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ส่งเสริมกระบวนการถ่ายทอดและเรียนรู้คุณค่าทางวัฒนธรรม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6) </w:t>
      </w:r>
      <w:r>
        <w:rPr>
          <w:rFonts w:ascii="Tahoma" w:hAnsi="Tahoma" w:eastAsia="Tahoma"/>
          <w:b w:val="0"/>
          <w:i w:val="0"/>
          <w:color w:val="1F3148"/>
          <w:sz w:val="18"/>
        </w:rPr>
        <w:t>สนับสนุน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และประสานการดำเนินงานทางวัฒนธรรม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7)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ส่งเสริมและดำเนินการปกป้องคุ้มครองมรดกภูมิปัญญาทางวัฒนธรรม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ทั้งในระดับท้องถิ่นระดับชาติและระดับนานาชาติ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8)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ดำเนินการยกย่องเชิดชูเกียรติ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และสนับสนุนการดำเนินงานของศิลปินแห่งชาติ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ผู้ทรงคุณวุฒิทางวัฒนธรรม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และบุคคลที่มีผลงานดีเด่น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9)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เสริมสร้างค่านิยมอันดีงามและเหมาะสมกับสังคมไทย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10)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จัดทำโครงการและแผนปฏิบัติงานส่งเสริม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ป้องกัน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และแก้ไขปัญหาทางวัฒนธรรม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11) 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ระดมทรัพยากรเพื่อส่งเสริมการดำเนินงานทางวัฒนธรรม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12)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ปฏิบัติการอื่นใดตามที่กฎหมายกำหนดให้เป็นอำนาจหน้าที่ของกรม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หรือตามที่รัฐมนตรีหรือคณะรัฐมนตรีมอบหมาย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</w:p>
    <w:p>
      <w:pPr>
        <w:autoSpaceDN w:val="0"/>
        <w:autoSpaceDE w:val="0"/>
        <w:widowControl/>
        <w:spacing w:line="240" w:lineRule="auto" w:before="140" w:after="14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rHeight w:hRule="exact" w:val="420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2"/>
              </w:trPr>
              <w:tc>
                <w:tcPr>
                  <w:tcW w:type="dxa" w:w="9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2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2"/>
              </w:trPr>
              <w:tc>
                <w:tcPr>
                  <w:tcW w:type="dxa" w:w="11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2"/>
              </w:trPr>
              <w:tc>
                <w:tcPr>
                  <w:tcW w:type="dxa" w:w="9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8"/>
              </w:trPr>
              <w:tc>
                <w:tcPr>
                  <w:tcW w:type="dxa" w:w="10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106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83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6"/>
              </w:trPr>
              <w:tc>
                <w:tcPr>
                  <w:tcW w:type="dxa" w:w="10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6"/>
              </w:trPr>
              <w:tc>
                <w:tcPr>
                  <w:tcW w:type="dxa" w:w="11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6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8"/>
              </w:trPr>
              <w:tc>
                <w:tcPr>
                  <w:tcW w:type="dxa" w:w="9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8"/>
              </w:trPr>
              <w:tc>
                <w:tcPr>
                  <w:tcW w:type="dxa" w:w="9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34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20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2"/>
            </w:tblGrid>
            <w:tr>
              <w:trPr>
                <w:trHeight w:hRule="exact" w:val="358"/>
              </w:trPr>
              <w:tc>
                <w:tcPr>
                  <w:tcW w:type="dxa" w:w="10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7.9999999999995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20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31</w:t>
            </w:r>
          </w:p>
        </w:tc>
        <w:tc>
          <w:tcPr>
            <w:tcW w:type="dxa" w:w="71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123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40</w:t>
            </w:r>
          </w:p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20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02"/>
            </w:tblGrid>
            <w:tr>
              <w:trPr>
                <w:trHeight w:hRule="exact" w:val="764"/>
              </w:trPr>
              <w:tc>
                <w:tcPr>
                  <w:tcW w:type="dxa" w:w="10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0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4"/>
              </w:trPr>
              <w:tc>
                <w:tcPr>
                  <w:tcW w:type="dxa" w:w="141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4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0"/>
        </w:trPr>
        <w:tc>
          <w:tcPr>
            <w:tcW w:type="dxa" w:w="120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02"/>
            </w:tblGrid>
            <w:tr>
              <w:trPr>
                <w:trHeight w:hRule="exact" w:val="766"/>
              </w:trPr>
              <w:tc>
                <w:tcPr>
                  <w:tcW w:type="dxa" w:w="86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6"/>
              </w:trPr>
              <w:tc>
                <w:tcPr>
                  <w:tcW w:type="dxa" w:w="123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</w:p>
    <w:p>
      <w:pPr>
        <w:autoSpaceDN w:val="0"/>
        <w:autoSpaceDE w:val="0"/>
        <w:widowControl/>
        <w:spacing w:line="240" w:lineRule="auto" w:before="140" w:after="18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5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8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4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17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29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7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</w:t>
            </w:r>
          </w:p>
        </w:tc>
      </w:tr>
      <w:tr>
        <w:trPr>
          <w:trHeight w:hRule="exact" w:val="344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74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6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6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2.1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นโยบายระดับชาติ</w:t>
            </w:r>
          </w:p>
        </w:tc>
      </w:tr>
    </w:tbl>
    <w:p>
      <w:pPr>
        <w:autoSpaceDN w:val="0"/>
        <w:autoSpaceDE w:val="0"/>
        <w:widowControl/>
        <w:spacing w:line="259" w:lineRule="auto" w:before="0" w:after="0"/>
        <w:ind w:left="332" w:right="288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2.1.1 </w:t>
      </w:r>
      <w:r>
        <w:rPr>
          <w:rFonts w:ascii="Tahoma" w:hAnsi="Tahoma" w:eastAsia="Tahoma"/>
          <w:b w:val="0"/>
          <w:i w:val="0"/>
          <w:color w:val="1F3148"/>
          <w:sz w:val="18"/>
        </w:rPr>
        <w:t>ยุทธศาสตร์ชาติ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20 </w:t>
      </w:r>
      <w:r>
        <w:rPr>
          <w:rFonts w:ascii="Tahoma" w:hAnsi="Tahoma" w:eastAsia="Tahoma"/>
          <w:b w:val="0"/>
          <w:i w:val="0"/>
          <w:color w:val="1F3148"/>
          <w:sz w:val="18"/>
        </w:rPr>
        <w:t>ปี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 2561 - 2580)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กรมส่งเสริมวัฒนธรรมรับผิดชอบหลักในยุทธศาสตร์ด้าน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“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การพัฒนาและเสริมสร้างศักยภาพทรัพยากรมนุษย์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” 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มีประเด็นย่อยที่สำคัญ</w:t>
      </w:r>
      <w:r>
        <w:rPr>
          <w:rFonts w:ascii="Tahoma" w:hAnsi="Tahoma" w:eastAsia="Tahoma"/>
          <w:b w:val="0"/>
          <w:i w:val="0"/>
          <w:color w:val="1F3148"/>
          <w:sz w:val="18"/>
        </w:rPr>
        <w:t>คือ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การปรับเปลี่ยนค่านิยมและวัฒนธรรม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มุ่งเน้นให้คนไทยมีคุณธรรม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จริยธรรม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และจิตสาธารณะ</w:t>
      </w:r>
      <w:r>
        <w:rPr>
          <w:rFonts w:ascii="Tahoma" w:hAnsi="Tahoma" w:eastAsia="Tahoma"/>
          <w:b w:val="0"/>
          <w:i w:val="0"/>
          <w:color w:val="1F3148"/>
          <w:sz w:val="18"/>
        </w:rPr>
        <w:t>ภายใต้คุณธรรม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5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พอเพียง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วินัย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สุจริต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จิต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อาสา</w:t>
      </w:r>
      <w:r>
        <w:rPr>
          <w:rFonts w:ascii="Tahoma" w:hAnsi="Tahoma" w:eastAsia="Tahoma"/>
          <w:b w:val="0"/>
          <w:i w:val="0"/>
          <w:color w:val="1F3148"/>
          <w:sz w:val="18"/>
        </w:rPr>
        <w:t>กตัญญู</w:t>
      </w:r>
    </w:p>
    <w:p>
      <w:pPr>
        <w:autoSpaceDN w:val="0"/>
        <w:autoSpaceDE w:val="0"/>
        <w:widowControl/>
        <w:spacing w:line="254" w:lineRule="auto" w:before="38" w:after="14"/>
        <w:ind w:left="332" w:right="2736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สถาบันครอบครัวและชุมชน</w:t>
      </w:r>
      <w:r>
        <w:rPr>
          <w:rFonts w:ascii="Tahoma" w:hAnsi="Tahoma" w:eastAsia="Tahoma"/>
          <w:b w:val="0"/>
          <w:i w:val="0"/>
          <w:color w:val="1F3148"/>
          <w:sz w:val="18"/>
        </w:rPr>
        <w:t>ในการส่งเสริมให้ชุมชนมีความเข้มแข็งผ่านกระบวนการทางวัฒนธรรม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2.1.2 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แผนแม่บทภายใต้ยุทธศาสตร์ชาติ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ประเด็น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(10)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การปรับเปลี่ยนค่านิยมและวัฒนธรรม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การสร้าง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“</w:t>
      </w:r>
      <w:r>
        <w:rPr>
          <w:rFonts w:ascii="Tahoma" w:hAnsi="Tahoma" w:eastAsia="Tahoma"/>
          <w:b w:val="0"/>
          <w:i w:val="0"/>
          <w:color w:val="1F3148"/>
          <w:sz w:val="18"/>
        </w:rPr>
        <w:t>คนไทยที่เป็นมนุษย์ที่สมบูรณ์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” 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ทั้งนี้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กรมฯ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มีตัวชี้วัดในความรับผิดชอบตามเอกสาร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ขาวคาดแดง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1)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คนไทยมีคุณธรรม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จริยธรรม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เข้าใจในการปฏิบัติตนตามค่านิยมความเป็นไทย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ประชาชนได้รับการให้บริการด้านศิลปวัฒนธรรม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4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3)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ประชาชนชาวไทยมีส่วนร่วมในการพัฒนาทุนทางวัฒนธรรมส่งเสริมอุตสาหกรรมซอฟต์พาวเวอร์ไทย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บ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ภาพยนตร์และวีดิทัศน์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2551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เพื่อกำกับดูแลการประกอบกิจการด้านภาพยนตร์และวีดิทัศน์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นำมาสู่การศึกษา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ทบทวนเนื้อหาด้านเกม</w:t>
            </w:r>
          </w:p>
        </w:tc>
      </w:tr>
    </w:tbl>
    <w:p>
      <w:pPr>
        <w:autoSpaceDN w:val="0"/>
        <w:autoSpaceDE w:val="0"/>
        <w:widowControl/>
        <w:spacing w:line="264" w:lineRule="auto" w:before="8" w:after="8"/>
        <w:ind w:left="332" w:right="2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และปรับปรุงแก้ไขกฎหมายเป็น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ร่าง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บ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ภาพยนตร์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....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เป็นผลมาจากการเปลี่ยนแปลงของเทคโนโลยี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การสื่อสารออนไลน์</w:t>
      </w:r>
      <w:r>
        <w:rPr>
          <w:rFonts w:ascii="Tahoma" w:hAnsi="Tahoma" w:eastAsia="Tahoma"/>
          <w:b w:val="0"/>
          <w:i w:val="0"/>
          <w:color w:val="1F3148"/>
          <w:sz w:val="18"/>
        </w:rPr>
        <w:t>รูปแบบการเข้าถึง</w:t>
      </w:r>
      <w:r>
        <w:rPr>
          <w:rFonts w:ascii="Tahoma" w:hAnsi="Tahoma" w:eastAsia="Tahoma"/>
          <w:b w:val="0"/>
          <w:i w:val="0"/>
          <w:color w:val="1F3148"/>
          <w:sz w:val="18"/>
        </w:rPr>
        <w:t>ภาพยนตร์และวีดิทัศน์ที่เปลี่ยนแปลงไป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บ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วัฒนธรรมแห่งชาติ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2553 </w:t>
      </w:r>
      <w:r>
        <w:rPr>
          <w:rFonts w:ascii="Tahoma" w:hAnsi="Tahoma" w:eastAsia="Tahoma"/>
          <w:b w:val="0"/>
          <w:i w:val="0"/>
          <w:color w:val="1F3148"/>
          <w:sz w:val="18"/>
        </w:rPr>
        <w:t>นำมาสู่การศึกษา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ทบทวน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และปรับปรุงแก้ไขกฎหมาย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ที่เกี่ยวข้อง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เพื่อขับเคลื่อนการดำเนินงานของกองทุนส่งเสริมงานวัฒนธรรม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เพื่อดำเนินการคัดเลือกศิลปินแห่งชาติ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และการจัดสรรสวัสดิการต่าง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เพื่อให้ได้มาซึ่งคณะกรรมการสภาวัฒนธรรมในแต่ละระดับ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เพื่อออกระเบียบคณะกรรมการวัฒนธรรมแห่งชาติ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ให้ครอบคลุม</w:t>
      </w:r>
      <w:r>
        <w:rPr>
          <w:rFonts w:ascii="Tahoma" w:hAnsi="Tahoma" w:eastAsia="Tahoma"/>
          <w:b w:val="0"/>
          <w:i w:val="0"/>
          <w:color w:val="1F3148"/>
          <w:sz w:val="18"/>
        </w:rPr>
        <w:t>ชัดเจน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เป็นไปตามสถานการณ์ปัจจุบัน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เพื่อตอบสนองพันธกิจหลักที่เกี่ยวข้องและกิจกรรม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การดำเนินงานด้านมรดกภูมิปัญญาทางวัฒนธรรมอย่างมีประสิทธิภาพ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มีกระบวนการที่ชัดเจน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308"/>
        </w:trPr>
        <w:tc>
          <w:tcPr>
            <w:tcW w:type="dxa" w:w="1077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ในการคุ้มครองมรดกทางวัฒนธรรมที่จับต้องไม่ได้สอดคล้องกับอนุสัญญาของ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UNESCO</w:t>
            </w:r>
          </w:p>
        </w:tc>
      </w:tr>
    </w:tbl>
    <w:p>
      <w:pPr>
        <w:autoSpaceDN w:val="0"/>
        <w:autoSpaceDE w:val="0"/>
        <w:widowControl/>
        <w:spacing w:line="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06"/>
        </w:trPr>
        <w:tc>
          <w:tcPr>
            <w:tcW w:type="dxa" w:w="64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ความเสี่ยงของหน่วยงาน</w:t>
            </w:r>
          </w:p>
        </w:tc>
      </w:tr>
    </w:tbl>
    <w:p>
      <w:pPr>
        <w:autoSpaceDN w:val="0"/>
        <w:autoSpaceDE w:val="0"/>
        <w:widowControl/>
        <w:spacing w:line="266" w:lineRule="auto" w:before="18" w:after="22"/>
        <w:ind w:left="332" w:right="288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1. </w:t>
      </w:r>
      <w:r>
        <w:rPr>
          <w:rFonts w:ascii="Tahoma" w:hAnsi="Tahoma" w:eastAsia="Tahoma"/>
          <w:b w:val="0"/>
          <w:i w:val="0"/>
          <w:color w:val="1F3148"/>
          <w:sz w:val="18"/>
        </w:rPr>
        <w:t>สภาพแวดล้อมการแข่งขัน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: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การปรับปรุงการดำเนินแผนงาน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โครงการ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กิจกรรม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บริการงานทางวัฒนธรรมให้สอดคล้องกับสถานการณ์ของสังคม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ไทยและสังคมโลก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Technology disruption </w:t>
      </w:r>
      <w:r>
        <w:rPr>
          <w:rFonts w:ascii="Tahoma" w:hAnsi="Tahoma" w:eastAsia="Tahoma"/>
          <w:b w:val="0"/>
          <w:i w:val="0"/>
          <w:color w:val="1F3148"/>
          <w:sz w:val="18"/>
        </w:rPr>
        <w:t>นโยบาย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Soft Power 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การวางกลยุทธ์มุ่งเน้นการนำเทคโนโลยีสารสนเทศ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ระบบออนไลน์</w:t>
      </w:r>
      <w:r>
        <w:rPr>
          <w:rFonts w:ascii="Tahoma" w:hAnsi="Tahoma" w:eastAsia="Tahoma"/>
          <w:b w:val="0"/>
          <w:i w:val="0"/>
          <w:color w:val="1F3148"/>
          <w:sz w:val="18"/>
        </w:rPr>
        <w:t>มาใช้ในการทำงาน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เพื่อให้การขับเคลื่อนงานวัฒนธรรมต่อเนื่อง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น่าสนใจ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สร้างกระแสตื่นรู้</w:t>
      </w:r>
      <w:r>
        <w:rPr>
          <w:rFonts w:ascii="Tahoma" w:hAnsi="Tahoma" w:eastAsia="Tahoma"/>
          <w:b w:val="0"/>
          <w:i w:val="0"/>
          <w:color w:val="1F3148"/>
          <w:sz w:val="18"/>
        </w:rPr>
        <w:t>เข้าถึงกลุ่มเป้าหมายได้ทุกกลุ่ม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ทั้งในประเทศและต่าง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เช่น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การใช้สื่อออนไลน์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Reel/Short/TikTok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การสร้างกิจกรรมโหวตให้ประชาชนมีส่วนร่วม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การสร้างเครือข่าย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Influencer 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ทั้งชาวไทยและ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ต่างชาติ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การสร้างสื่อในภาษาต่างประเทศ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เป็นต้น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การเปลี่ยนแปลงความสามารถในการแข่งขัน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: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การเปลี่ยนแปลงที่สำคัญที่มีผลต่อสถานการณ์แข่งขัน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รวมถึงการเปลี่ยนแปลงที่สร้างโอกาสในการ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สร้างนวัตกรรมและความร่วมมือ</w:t>
      </w:r>
      <w:r>
        <w:rPr>
          <w:rFonts w:ascii="Tahoma" w:hAnsi="Tahoma" w:eastAsia="Tahoma"/>
          <w:b w:val="0"/>
          <w:i w:val="0"/>
          <w:color w:val="1F3148"/>
          <w:sz w:val="18"/>
        </w:rPr>
        <w:t>คือ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1) </w:t>
      </w:r>
      <w:r>
        <w:rPr>
          <w:rFonts w:ascii="Tahoma" w:hAnsi="Tahoma" w:eastAsia="Tahoma"/>
          <w:b w:val="0"/>
          <w:i w:val="0"/>
          <w:color w:val="1F3148"/>
          <w:sz w:val="18"/>
        </w:rPr>
        <w:t>รายการมรดกภูมิปัญญาทางวัฒนธรรมของไทยได้รับการขึ้นทะเบียนโดย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UNSECO </w:t>
      </w:r>
      <w:r>
        <w:rPr>
          <w:rFonts w:ascii="Tahoma" w:hAnsi="Tahoma" w:eastAsia="Tahoma"/>
          <w:b w:val="0"/>
          <w:i w:val="0"/>
          <w:color w:val="1F3148"/>
          <w:sz w:val="18"/>
        </w:rPr>
        <w:t>ในสาขาหรือประเภทที่เกี่ยวข้อง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2) </w:t>
      </w:r>
      <w:r>
        <w:rPr>
          <w:rFonts w:ascii="Tahoma" w:hAnsi="Tahoma" w:eastAsia="Tahoma"/>
          <w:b w:val="0"/>
          <w:i w:val="0"/>
          <w:color w:val="1F3148"/>
          <w:sz w:val="18"/>
        </w:rPr>
        <w:t>รายการ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Soft Power </w:t>
      </w:r>
      <w:r>
        <w:rPr>
          <w:rFonts w:ascii="Tahoma" w:hAnsi="Tahoma" w:eastAsia="Tahoma"/>
          <w:b w:val="0"/>
          <w:i w:val="0"/>
          <w:color w:val="1F3148"/>
          <w:sz w:val="18"/>
        </w:rPr>
        <w:t>ไทย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ปรากฏอยู่ในการจัดลำดับของผลสำรวจต่าง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ของนานาชาติมากขึ้น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และมีแนวโน้มในทางที่ดี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(</w:t>
      </w:r>
      <w:r>
        <w:rPr>
          <w:rFonts w:ascii="Tahoma" w:hAnsi="Tahoma" w:eastAsia="Tahoma"/>
          <w:b w:val="0"/>
          <w:i w:val="0"/>
          <w:color w:val="1F3148"/>
          <w:sz w:val="18"/>
        </w:rPr>
        <w:t>บวก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) 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3)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การสร้างความร่วมมือกับหน่วยงานต่างประเทศ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บุคคลที่มีชื่อเสียง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กลุ่มเป้าหมายใหม่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นำมาสู่การสร้างสื่อใหม่</w:t>
      </w:r>
      <w:r>
        <w:rPr>
          <w:rFonts w:ascii="Tahoma" w:hAnsi="Tahoma" w:eastAsia="Tahoma"/>
          <w:b w:val="0"/>
          <w:i w:val="0"/>
          <w:color w:val="1F3148"/>
          <w:sz w:val="18"/>
        </w:rPr>
        <w:t>สื่อประชาสัมพันธ์ในภาษาต่าง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ประเทศหรือภาษาชาติพันธุ์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กลุ่มผู้รับบริการใหม่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3,840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78.81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พัฒนาสุขภาพและคุณภาพชีวิตที่ดี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