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r>
        <w:rPr>
          <w:rFonts w:ascii="Arial" w:cs="Arial" w:eastAsia="Arial" w:hAnsi="Arial"/>
          <w:b/>
          <w:bCs/>
          <w:color w:val="FFFFFF"/>
          <w:sz w:val="40"/>
          <w:szCs w:val="40"/>
        </w:rPr>
        <w:t xml:space="preserve">AI TRENDS EXECUTIVE SUMMARY</w:t>
      </w:r>
    </w:p>
    <w:p>
      <w:pPr>
        <w:shd w:fill="1B3A6B" w:val="clear"/>
        <w:spacing w:after="0" w:before="0"/>
      </w:pPr>
      <w:r>
        <w:rPr>
          <w:rFonts w:ascii="Arial" w:cs="Arial" w:eastAsia="Arial" w:hAnsi="Arial"/>
          <w:color w:val="C8D8F0"/>
          <w:sz w:val="18"/>
          <w:szCs w:val="18"/>
        </w:rPr>
        <w:t xml:space="preserve">Prepared for Technical Leaders  |  Research Window: March–May 2026  |  Report Date: May 31, 2026</w:t>
      </w:r>
    </w:p>
    <w:p>
      <w:pPr>
        <w:shd w:fill="1B3A6B" w:val="clear"/>
        <w:spacing w:after="160" w:before="0"/>
      </w:pPr>
      <w:r>
        <w:rPr>
          <w:rFonts w:ascii="Arial" w:cs="Arial" w:eastAsia="Arial" w:hAnsi="Arial"/>
          <w:b/>
          <w:bCs/>
          <w:color w:val="C8982A"/>
          <w:sz w:val="17"/>
          <w:szCs w:val="17"/>
        </w:rPr>
        <w:t xml:space="preserve">Focus: Generative AI  |  AI Infrastructure  |  AI Agents  |  Foundation Models</w:t>
      </w:r>
    </w:p>
    <w:p>
      <w:pPr>
        <w:pBdr>
          <w:bottom w:val="single" w:color="2E6DB4" w:sz="6" w:space="2"/>
        </w:pBdr>
        <w:spacing w:after="60" w:before="200"/>
      </w:pPr>
      <w:r>
        <w:rPr>
          <w:rFonts w:ascii="Arial" w:cs="Arial" w:eastAsia="Arial" w:hAnsi="Arial"/>
          <w:b/>
          <w:bCs/>
          <w:color w:val="1B3A6B"/>
          <w:sz w:val="22"/>
          <w:szCs w:val="22"/>
        </w:rPr>
        <w:t xml:space="preserve">KEY METRICS AT A GLANCE</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7" w:val="clear"/>
            <w:tcMar>
              <w:top w:type="dxa" w:w="100"/>
              <w:left w:type="dxa" w:w="120"/>
              <w:bottom w:type="dxa" w:w="100"/>
              <w:right w:type="dxa" w:w="120"/>
            </w:tcMar>
            <w:vAlign w:val="center"/>
          </w:tcPr>
          <w:p>
            <w:pPr>
              <w:spacing w:after="40" w:before="0"/>
              <w:jc w:val="center"/>
            </w:pPr>
            <w:r>
              <w:rPr>
                <w:rFonts w:ascii="Arial" w:cs="Arial" w:eastAsia="Arial" w:hAnsi="Arial"/>
                <w:b/>
                <w:bCs/>
                <w:color w:val="1B3A6B"/>
                <w:sz w:val="34"/>
                <w:szCs w:val="34"/>
              </w:rPr>
              <w:t xml:space="preserve">$725B–$830B</w:t>
            </w:r>
          </w:p>
          <w:p>
            <w:pPr>
              <w:spacing w:after="20" w:before="0"/>
              <w:jc w:val="center"/>
            </w:pPr>
            <w:r>
              <w:rPr>
                <w:rFonts w:ascii="Arial" w:cs="Arial" w:eastAsia="Arial" w:hAnsi="Arial"/>
                <w:b/>
                <w:bCs/>
                <w:color w:val="2E6DB4"/>
                <w:sz w:val="16"/>
                <w:szCs w:val="16"/>
              </w:rPr>
              <w:t xml:space="preserve">Hyperscaler CapEx 2026</w:t>
            </w:r>
          </w:p>
          <w:p>
            <w:pPr>
              <w:spacing w:after="0" w:before="0"/>
              <w:jc w:val="center"/>
            </w:pPr>
            <w:r>
              <w:rPr>
                <w:rFonts w:ascii="Arial" w:cs="Arial" w:eastAsia="Arial" w:hAnsi="Arial"/>
                <w:i/>
                <w:iCs/>
                <w:color w:val="444466"/>
                <w:sz w:val="15"/>
                <w:szCs w:val="15"/>
              </w:rPr>
              <w:t xml:space="preserve">79% YoY increase</w:t>
            </w:r>
          </w:p>
        </w:tc>
        <w:tc>
          <w:tcPr>
            <w:tcW w:type="dxa" w:w="2340"/>
            <w:tcBorders>
              <w:top w:val="none" w:color="FFFFFF" w:sz="0"/>
              <w:left w:val="none" w:color="FFFFFF" w:sz="0"/>
              <w:bottom w:val="none" w:color="FFFFFF" w:sz="0"/>
              <w:right w:val="none" w:color="FFFFFF" w:sz="0"/>
            </w:tcBorders>
            <w:shd w:fill="D6E4F7" w:val="clear"/>
            <w:tcMar>
              <w:top w:type="dxa" w:w="100"/>
              <w:left w:type="dxa" w:w="120"/>
              <w:bottom w:type="dxa" w:w="100"/>
              <w:right w:type="dxa" w:w="120"/>
            </w:tcMar>
            <w:vAlign w:val="center"/>
          </w:tcPr>
          <w:p>
            <w:pPr>
              <w:spacing w:after="40" w:before="0"/>
              <w:jc w:val="center"/>
            </w:pPr>
            <w:r>
              <w:rPr>
                <w:rFonts w:ascii="Arial" w:cs="Arial" w:eastAsia="Arial" w:hAnsi="Arial"/>
                <w:b/>
                <w:bCs/>
                <w:color w:val="1B3A6B"/>
                <w:sz w:val="34"/>
                <w:szCs w:val="34"/>
              </w:rPr>
              <w:t xml:space="preserve">$965B</w:t>
            </w:r>
          </w:p>
          <w:p>
            <w:pPr>
              <w:spacing w:after="20" w:before="0"/>
              <w:jc w:val="center"/>
            </w:pPr>
            <w:r>
              <w:rPr>
                <w:rFonts w:ascii="Arial" w:cs="Arial" w:eastAsia="Arial" w:hAnsi="Arial"/>
                <w:b/>
                <w:bCs/>
                <w:color w:val="2E6DB4"/>
                <w:sz w:val="16"/>
                <w:szCs w:val="16"/>
              </w:rPr>
              <w:t xml:space="preserve">Anthropic Valuation</w:t>
            </w:r>
          </w:p>
          <w:p>
            <w:pPr>
              <w:spacing w:after="0" w:before="0"/>
              <w:jc w:val="center"/>
            </w:pPr>
            <w:r>
              <w:rPr>
                <w:rFonts w:ascii="Arial" w:cs="Arial" w:eastAsia="Arial" w:hAnsi="Arial"/>
                <w:i/>
                <w:iCs/>
                <w:color w:val="444466"/>
                <w:sz w:val="15"/>
                <w:szCs w:val="15"/>
              </w:rPr>
              <w:t xml:space="preserve">May 28, 2026</w:t>
            </w:r>
          </w:p>
        </w:tc>
        <w:tc>
          <w:tcPr>
            <w:tcW w:type="dxa" w:w="2340"/>
            <w:tcBorders>
              <w:top w:val="none" w:color="FFFFFF" w:sz="0"/>
              <w:left w:val="none" w:color="FFFFFF" w:sz="0"/>
              <w:bottom w:val="none" w:color="FFFFFF" w:sz="0"/>
              <w:right w:val="none" w:color="FFFFFF" w:sz="0"/>
            </w:tcBorders>
            <w:shd w:fill="D6E4F7" w:val="clear"/>
            <w:tcMar>
              <w:top w:type="dxa" w:w="100"/>
              <w:left w:type="dxa" w:w="120"/>
              <w:bottom w:type="dxa" w:w="100"/>
              <w:right w:type="dxa" w:w="120"/>
            </w:tcMar>
            <w:vAlign w:val="center"/>
          </w:tcPr>
          <w:p>
            <w:pPr>
              <w:spacing w:after="40" w:before="0"/>
              <w:jc w:val="center"/>
            </w:pPr>
            <w:r>
              <w:rPr>
                <w:rFonts w:ascii="Arial" w:cs="Arial" w:eastAsia="Arial" w:hAnsi="Arial"/>
                <w:b/>
                <w:bCs/>
                <w:color w:val="1B3A6B"/>
                <w:sz w:val="34"/>
                <w:szCs w:val="34"/>
              </w:rPr>
              <w:t xml:space="preserve">85%</w:t>
            </w:r>
          </w:p>
          <w:p>
            <w:pPr>
              <w:spacing w:after="20" w:before="0"/>
              <w:jc w:val="center"/>
            </w:pPr>
            <w:r>
              <w:rPr>
                <w:rFonts w:ascii="Arial" w:cs="Arial" w:eastAsia="Arial" w:hAnsi="Arial"/>
                <w:b/>
                <w:bCs/>
                <w:color w:val="2E6DB4"/>
                <w:sz w:val="16"/>
                <w:szCs w:val="16"/>
              </w:rPr>
              <w:t xml:space="preserve">Enterprises Planning AI Agents</w:t>
            </w:r>
          </w:p>
          <w:p>
            <w:pPr>
              <w:spacing w:after="0" w:before="0"/>
              <w:jc w:val="center"/>
            </w:pPr>
            <w:r>
              <w:rPr>
                <w:rFonts w:ascii="Arial" w:cs="Arial" w:eastAsia="Arial" w:hAnsi="Arial"/>
                <w:i/>
                <w:iCs/>
                <w:color w:val="444466"/>
                <w:sz w:val="15"/>
                <w:szCs w:val="15"/>
              </w:rPr>
              <w:t xml:space="preserve">Deloitte, Jan 2026</w:t>
            </w:r>
          </w:p>
        </w:tc>
        <w:tc>
          <w:tcPr>
            <w:tcW w:type="dxa" w:w="2340"/>
            <w:tcBorders>
              <w:top w:val="none" w:color="FFFFFF" w:sz="0"/>
              <w:left w:val="none" w:color="FFFFFF" w:sz="0"/>
              <w:bottom w:val="none" w:color="FFFFFF" w:sz="0"/>
              <w:right w:val="none" w:color="FFFFFF" w:sz="0"/>
            </w:tcBorders>
            <w:shd w:fill="D6E4F7" w:val="clear"/>
            <w:tcMar>
              <w:top w:type="dxa" w:w="100"/>
              <w:left w:type="dxa" w:w="120"/>
              <w:bottom w:type="dxa" w:w="100"/>
              <w:right w:type="dxa" w:w="120"/>
            </w:tcMar>
            <w:vAlign w:val="center"/>
          </w:tcPr>
          <w:p>
            <w:pPr>
              <w:spacing w:after="40" w:before="0"/>
              <w:jc w:val="center"/>
            </w:pPr>
            <w:r>
              <w:rPr>
                <w:rFonts w:ascii="Arial" w:cs="Arial" w:eastAsia="Arial" w:hAnsi="Arial"/>
                <w:b/>
                <w:bCs/>
                <w:color w:val="1B3A6B"/>
                <w:sz w:val="34"/>
                <w:szCs w:val="34"/>
              </w:rPr>
              <w:t xml:space="preserve">21%</w:t>
            </w:r>
          </w:p>
          <w:p>
            <w:pPr>
              <w:spacing w:after="20" w:before="0"/>
              <w:jc w:val="center"/>
            </w:pPr>
            <w:r>
              <w:rPr>
                <w:rFonts w:ascii="Arial" w:cs="Arial" w:eastAsia="Arial" w:hAnsi="Arial"/>
                <w:b/>
                <w:bCs/>
                <w:color w:val="2E6DB4"/>
                <w:sz w:val="16"/>
                <w:szCs w:val="16"/>
              </w:rPr>
              <w:t xml:space="preserve">Mature Agent Governance</w:t>
            </w:r>
          </w:p>
          <w:p>
            <w:pPr>
              <w:spacing w:after="0" w:before="0"/>
              <w:jc w:val="center"/>
            </w:pPr>
            <w:r>
              <w:rPr>
                <w:rFonts w:ascii="Arial" w:cs="Arial" w:eastAsia="Arial" w:hAnsi="Arial"/>
                <w:i/>
                <w:iCs/>
                <w:color w:val="444466"/>
                <w:sz w:val="15"/>
                <w:szCs w:val="15"/>
              </w:rPr>
              <w:t xml:space="preserve">Critical gap</w:t>
            </w:r>
          </w:p>
        </w:tc>
      </w:tr>
    </w:tbl>
    <w:p>
      <w:pPr>
        <w:spacing w:after="0" w:before="0" w:line="160"/>
      </w:pPr>
    </w:p>
    <w:p>
      <w:pPr>
        <w:pBdr>
          <w:bottom w:val="single" w:color="2E6DB4" w:sz="6" w:space="2"/>
        </w:pBdr>
        <w:spacing w:after="60" w:before="200"/>
      </w:pPr>
      <w:r>
        <w:rPr>
          <w:rFonts w:ascii="Arial" w:cs="Arial" w:eastAsia="Arial" w:hAnsi="Arial"/>
          <w:b/>
          <w:bCs/>
          <w:color w:val="1B3A6B"/>
          <w:sz w:val="22"/>
          <w:szCs w:val="22"/>
        </w:rPr>
        <w:t xml:space="preserve">EXECUTIVE OVERVIEW</w:t>
      </w:r>
    </w:p>
    <w:p>
      <w:pPr>
        <w:spacing w:after="60" w:before="60" w:line="276"/>
      </w:pPr>
      <w:r>
        <w:rPr>
          <w:rFonts w:ascii="Arial" w:cs="Arial" w:eastAsia="Arial" w:hAnsi="Arial"/>
          <w:b w:val="false"/>
          <w:bCs w:val="false"/>
          <w:i w:val="false"/>
          <w:iCs w:val="false"/>
          <w:color w:val="1A1A2E"/>
          <w:sz w:val="19"/>
          <w:szCs w:val="19"/>
        </w:rPr>
        <w:t xml:space="preserve">The AI landscape in mid-2026 is defined by a decisive phase transition: the industry has moved from experimentation to execution at scale. Three structural shifts characterize this moment:</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From models to systems. Multi-agent frameworks (LangGraph, CrewAI, Microsoft Semantic Kernel, AutoGen) have matured into production-grade tools; autonomous planning and execution are now baseline expectations.</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From pilots to production — unevenly. Only 25% of organizations have moved 40%+ of AI pilots into production (Deloitte 2026), but 54% expect to reach that threshold within 3–6 months.</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From US-centric to globally contested. AI sovereignty is a central policy principle — 77% of companies now factor country of origin into AI vendor selection.</w:t>
      </w:r>
    </w:p>
    <w:p>
      <w:pPr>
        <w:spacing w:after="0" w:before="0" w:line="120"/>
      </w:pPr>
    </w:p>
    <w:p>
      <w:pPr>
        <w:pBdr>
          <w:bottom w:val="single" w:color="2E6DB4" w:sz="6" w:space="2"/>
        </w:pBdr>
        <w:spacing w:after="60" w:before="200"/>
      </w:pPr>
      <w:r>
        <w:rPr>
          <w:rFonts w:ascii="Arial" w:cs="Arial" w:eastAsia="Arial" w:hAnsi="Arial"/>
          <w:b/>
          <w:bCs/>
          <w:color w:val="1B3A6B"/>
          <w:sz w:val="22"/>
          <w:szCs w:val="22"/>
        </w:rPr>
        <w:t xml:space="preserve">FOCUS AREA HIGHLIGHTS</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2E6DB4" w:sz="6"/>
              <w:left w:val="single" w:color="2E6DB4" w:sz="6"/>
              <w:bottom w:val="single" w:color="CCCCCC" w:sz="1"/>
              <w:right w:val="single" w:color="CCCCCC" w:sz="1"/>
            </w:tcBorders>
            <w:shd w:fill="F4F6FA" w:val="clear"/>
            <w:tcMar>
              <w:top w:type="dxa" w:w="100"/>
              <w:left w:type="dxa" w:w="140"/>
              <w:bottom w:type="dxa" w:w="100"/>
              <w:right w:type="dxa" w:w="140"/>
            </w:tcMar>
          </w:tcPr>
          <w:p>
            <w:pPr>
              <w:spacing w:after="60" w:before="0"/>
            </w:pPr>
            <w:r>
              <w:rPr>
                <w:rFonts w:ascii="Arial" w:cs="Arial" w:eastAsia="Arial" w:hAnsi="Arial"/>
                <w:b/>
                <w:bCs/>
                <w:color w:val="2E6DB4"/>
                <w:sz w:val="19"/>
                <w:szCs w:val="19"/>
              </w:rPr>
              <w:t xml:space="preserve">GENERATIVE AI</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GPT-5.5, Claude Opus 4.8, and Gemini 3.5 all shipped in 3 months — an unprecedented pace.</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Benchmark leaders: GPT-5.4-Pro at 94.4% GPQA Diamond; Claude Opus 4.7 at 87.6% SWE-Bench Verified.</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1M+ token context windows may eliminate chunking strategies in many RAG pipelines.</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Microsoft MAI models offer cost-competitive alternatives: transcription at $0.36/hr.</w:t>
            </w:r>
          </w:p>
        </w:tc>
        <w:tc>
          <w:tcPr>
            <w:tcW w:type="dxa" w:w="240"/>
            <w:tcBorders>
              <w:top w:val="none" w:color="FFFFFF" w:sz="0"/>
              <w:left w:val="none" w:color="FFFFFF" w:sz="0"/>
              <w:bottom w:val="none" w:color="FFFFFF" w:sz="0"/>
              <w:right w:val="none" w:color="FFFFFF" w:sz="0"/>
            </w:tcBorders>
            <w:shd w:fill="FFFFFF" w:val="clear"/>
          </w:tcPr>
          <w:p/>
        </w:tc>
        <w:tc>
          <w:tcPr>
            <w:tcW w:type="dxa" w:w="4560"/>
            <w:tcBorders>
              <w:top w:val="single" w:color="2E6DB4" w:sz="6"/>
              <w:left w:val="single" w:color="2E6DB4" w:sz="6"/>
              <w:bottom w:val="single" w:color="CCCCCC" w:sz="1"/>
              <w:right w:val="single" w:color="CCCCCC" w:sz="1"/>
            </w:tcBorders>
            <w:shd w:fill="F4F6FA" w:val="clear"/>
            <w:tcMar>
              <w:top w:type="dxa" w:w="100"/>
              <w:left w:type="dxa" w:w="140"/>
              <w:bottom w:type="dxa" w:w="100"/>
              <w:right w:type="dxa" w:w="140"/>
            </w:tcMar>
          </w:tcPr>
          <w:p>
            <w:pPr>
              <w:spacing w:after="60" w:before="0"/>
            </w:pPr>
            <w:r>
              <w:rPr>
                <w:rFonts w:ascii="Arial" w:cs="Arial" w:eastAsia="Arial" w:hAnsi="Arial"/>
                <w:b/>
                <w:bCs/>
                <w:color w:val="2E6DB4"/>
                <w:sz w:val="19"/>
                <w:szCs w:val="19"/>
              </w:rPr>
              <w:t xml:space="preserve">AI INFRASTRUCTURE</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Top 4 US hyperscalers: $725B combined 2026 CapEx. Top 9 global CSPs: $830B (79% YoY increase).</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NVIDIA dominates (~80% share) with B300 Blackwell Ultra at $350K+; AMD challenging at 12–15% share.</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AI servers projected to surpass general-purpose servers in total electricity consumption in 2026.</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Data center power capacity reaching ~155 GW globally (+29% YoY). Demand set to double by 2030.</w:t>
            </w:r>
          </w:p>
        </w:tc>
      </w:tr>
      <w:tr>
        <w:tc>
          <w:tcPr>
            <w:tcW w:type="dxa" w:w="9360"/>
            <w:tcBorders>
              <w:top w:val="none" w:color="FFFFFF" w:sz="0"/>
              <w:left w:val="none" w:color="FFFFFF" w:sz="0"/>
              <w:bottom w:val="none" w:color="FFFFFF" w:sz="0"/>
              <w:right w:val="none" w:color="FFFFFF" w:sz="0"/>
            </w:tcBorders>
            <w:shd w:fill="FFFFFF" w:val="clear"/>
          </w:tcPr>
          <w:p>
            <w:pPr>
              <w:spacing w:after="80" w:before="0"/>
            </w:pPr>
          </w:p>
        </w:tc>
      </w:tr>
      <w:tr>
        <w:tc>
          <w:tcPr>
            <w:tcW w:type="dxa" w:w="4560"/>
            <w:tcBorders>
              <w:top w:val="single" w:color="C8982A" w:sz="6"/>
              <w:left w:val="single" w:color="C8982A" w:sz="6"/>
              <w:bottom w:val="single" w:color="CCCCCC" w:sz="1"/>
              <w:right w:val="single" w:color="CCCCCC" w:sz="1"/>
            </w:tcBorders>
            <w:shd w:fill="F4F6FA" w:val="clear"/>
            <w:tcMar>
              <w:top w:type="dxa" w:w="100"/>
              <w:left w:type="dxa" w:w="140"/>
              <w:bottom w:type="dxa" w:w="100"/>
              <w:right w:type="dxa" w:w="140"/>
            </w:tcMar>
          </w:tcPr>
          <w:p>
            <w:pPr>
              <w:spacing w:after="60" w:before="0"/>
            </w:pPr>
            <w:r>
              <w:rPr>
                <w:rFonts w:ascii="Arial" w:cs="Arial" w:eastAsia="Arial" w:hAnsi="Arial"/>
                <w:b/>
                <w:bCs/>
                <w:color w:val="C8982A"/>
                <w:sz w:val="19"/>
                <w:szCs w:val="19"/>
              </w:rPr>
              <w:t xml:space="preserve">AI AGENTS</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85% of enterprises plan to customize agents for workflows; software engineering = ~50% of agent API usage.</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OpenAI Codex, Anthropic Claude Code ($2.5B annualized revenue), and Google Gemini Spark all live in production.</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Only 21% of companies deploying agentic AI have mature governance models — the most critical risk gap.</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Leading frameworks: LangGraph (stateful workflows), CrewAI (role-based), Semantic Kernel (enterprise).</w:t>
            </w:r>
          </w:p>
        </w:tc>
        <w:tc>
          <w:tcPr>
            <w:tcW w:type="dxa" w:w="240"/>
            <w:tcBorders>
              <w:top w:val="none" w:color="FFFFFF" w:sz="0"/>
              <w:left w:val="none" w:color="FFFFFF" w:sz="0"/>
              <w:bottom w:val="none" w:color="FFFFFF" w:sz="0"/>
              <w:right w:val="none" w:color="FFFFFF" w:sz="0"/>
            </w:tcBorders>
            <w:shd w:fill="FFFFFF" w:val="clear"/>
          </w:tcPr>
          <w:p/>
        </w:tc>
        <w:tc>
          <w:tcPr>
            <w:tcW w:type="dxa" w:w="4560"/>
            <w:tcBorders>
              <w:top w:val="single" w:color="C8982A" w:sz="6"/>
              <w:left w:val="single" w:color="C8982A" w:sz="6"/>
              <w:bottom w:val="single" w:color="CCCCCC" w:sz="1"/>
              <w:right w:val="single" w:color="CCCCCC" w:sz="1"/>
            </w:tcBorders>
            <w:shd w:fill="F4F6FA" w:val="clear"/>
            <w:tcMar>
              <w:top w:type="dxa" w:w="100"/>
              <w:left w:type="dxa" w:w="140"/>
              <w:bottom w:type="dxa" w:w="100"/>
              <w:right w:type="dxa" w:w="140"/>
            </w:tcMar>
          </w:tcPr>
          <w:p>
            <w:pPr>
              <w:spacing w:after="60" w:before="0"/>
            </w:pPr>
            <w:r>
              <w:rPr>
                <w:rFonts w:ascii="Arial" w:cs="Arial" w:eastAsia="Arial" w:hAnsi="Arial"/>
                <w:b/>
                <w:bCs/>
                <w:color w:val="C8982A"/>
                <w:sz w:val="19"/>
                <w:szCs w:val="19"/>
              </w:rPr>
              <w:t xml:space="preserve">FOUNDATION MODELS &amp; FUNDING</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Anthropic: $65B Series H at $965B valuation (May 28, 2026) — eclipses OpenAI's $852B. $47B revenue run rate.</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OpenAI: $122B round at $852B valuation (March 2026). IPO filing expected as early as September 2026.</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Competition now on enterprise reliability, coding, multimodal breadth, and cost efficiency simultaneously.</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Meta LLaMA 4 Enterprise maintains open-weight competitive pressure across the market.</w:t>
            </w:r>
          </w:p>
        </w:tc>
      </w:tr>
    </w:tbl>
    <w:p>
      <w:pPr>
        <w:spacing w:after="0" w:before="0" w:line="160"/>
      </w:pPr>
    </w:p>
    <w:p>
      <w:r>
        <w:br w:type="page"/>
      </w:r>
    </w:p>
    <w:p>
      <w:pPr>
        <w:spacing w:after="100" w:before="0"/>
      </w:pPr>
      <w:r>
        <w:rPr>
          <w:rFonts w:ascii="Arial" w:cs="Arial" w:eastAsia="Arial" w:hAnsi="Arial"/>
          <w:b/>
          <w:bCs/>
          <w:color w:val="1B3A6B"/>
          <w:sz w:val="24"/>
          <w:szCs w:val="24"/>
        </w:rPr>
        <w:t xml:space="preserve">AI TRENDS EXECUTIVE SUMMARY</w:t>
      </w:r>
      <w:r>
        <w:rPr>
          <w:rFonts w:ascii="Arial" w:cs="Arial" w:eastAsia="Arial" w:hAnsi="Arial"/>
          <w:color w:val="444466"/>
          <w:sz w:val="20"/>
          <w:szCs w:val="20"/>
        </w:rPr>
        <w:t xml:space="preserve">  |  Strategic Outlook &amp; Recommendations</w:t>
      </w:r>
    </w:p>
    <w:p>
      <w:pPr>
        <w:pBdr>
          <w:bottom w:val="single" w:color="2E6DB4" w:sz="8" w:space="1"/>
        </w:pBdr>
        <w:spacing w:after="80" w:before="0"/>
      </w:pPr>
    </w:p>
    <w:p>
      <w:pPr>
        <w:pBdr>
          <w:bottom w:val="single" w:color="2E6DB4" w:sz="6" w:space="2"/>
        </w:pBdr>
        <w:spacing w:after="60" w:before="200"/>
      </w:pPr>
      <w:r>
        <w:rPr>
          <w:rFonts w:ascii="Arial" w:cs="Arial" w:eastAsia="Arial" w:hAnsi="Arial"/>
          <w:b/>
          <w:bCs/>
          <w:color w:val="1B3A6B"/>
          <w:sz w:val="22"/>
          <w:szCs w:val="22"/>
        </w:rPr>
        <w:t xml:space="preserve">CROSS-CUTTING THEMES</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4360"/>
        <w:gridCol w:w="120"/>
        <w:gridCol w:w="440"/>
        <w:gridCol w:w="4000"/>
      </w:tblGrid>
      <w:tr>
        <w:tc>
          <w:tcPr>
            <w:tcW w:type="dxa" w:w="44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vAlign w:val="top"/>
          </w:tcPr>
          <w:p>
            <w:pPr>
              <w:jc w:val="center"/>
            </w:pPr>
            <w:r>
              <w:rPr>
                <w:rFonts w:ascii="Arial" w:cs="Arial" w:eastAsia="Arial" w:hAnsi="Arial"/>
                <w:sz w:val="26"/>
                <w:szCs w:val="26"/>
              </w:rPr>
              <w:t xml:space="preserve">⚡</w:t>
            </w:r>
          </w:p>
        </w:tc>
        <w:tc>
          <w:tcPr>
            <w:tcW w:type="dxa" w:w="436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pPr>
              <w:spacing w:after="30" w:before="0"/>
            </w:pPr>
            <w:r>
              <w:rPr>
                <w:rFonts w:ascii="Arial" w:cs="Arial" w:eastAsia="Arial" w:hAnsi="Arial"/>
                <w:b/>
                <w:bCs/>
                <w:color w:val="1B3A6B"/>
                <w:sz w:val="19"/>
                <w:szCs w:val="19"/>
              </w:rPr>
              <w:t xml:space="preserve">Phase Transition</w:t>
            </w:r>
          </w:p>
          <w:p>
            <w:pPr>
              <w:spacing w:after="0" w:before="0"/>
            </w:pPr>
            <w:r>
              <w:rPr>
                <w:rFonts w:ascii="Arial" w:cs="Arial" w:eastAsia="Arial" w:hAnsi="Arial"/>
                <w:color w:val="1A1A2E"/>
                <w:sz w:val="18"/>
                <w:szCs w:val="18"/>
              </w:rPr>
              <w:t xml:space="preserve">25% of leaders report AI is having a transformative effect — more than double from a year ago. Yet only 30% are redesigning key processes around AI and 37% use it at surface level only.</w:t>
            </w:r>
          </w:p>
        </w:tc>
        <w:tc>
          <w:tcPr>
            <w:tcW w:type="dxa" w:w="120"/>
            <w:tcBorders>
              <w:top w:val="none" w:color="FFFFFF" w:sz="0"/>
              <w:left w:val="none" w:color="FFFFFF" w:sz="0"/>
              <w:bottom w:val="none" w:color="FFFFFF" w:sz="0"/>
              <w:right w:val="none" w:color="FFFFFF" w:sz="0"/>
            </w:tcBorders>
            <w:shd w:fill="FFFFFF" w:val="clear"/>
          </w:tcPr>
          <w:p/>
        </w:tc>
      </w:tr>
      <w:tr>
        <w:tc>
          <w:tcPr>
            <w:tcW w:type="dxa" w:w="44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vAlign w:val="top"/>
          </w:tcPr>
          <w:p>
            <w:pPr>
              <w:jc w:val="center"/>
            </w:pPr>
            <w:r>
              <w:rPr>
                <w:rFonts w:ascii="Arial" w:cs="Arial" w:eastAsia="Arial" w:hAnsi="Arial"/>
                <w:sz w:val="26"/>
                <w:szCs w:val="26"/>
              </w:rPr>
              <w:t xml:space="preserve">🤖</w:t>
            </w:r>
          </w:p>
        </w:tc>
        <w:tc>
          <w:tcPr>
            <w:tcW w:type="dxa" w:w="436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pPr>
              <w:spacing w:after="30" w:before="0"/>
            </w:pPr>
            <w:r>
              <w:rPr>
                <w:rFonts w:ascii="Arial" w:cs="Arial" w:eastAsia="Arial" w:hAnsi="Arial"/>
                <w:b/>
                <w:bCs/>
                <w:color w:val="1B3A6B"/>
                <w:sz w:val="19"/>
                <w:szCs w:val="19"/>
              </w:rPr>
              <w:t xml:space="preserve">Agentic Architecture Shift</w:t>
            </w:r>
          </w:p>
          <w:p>
            <w:pPr>
              <w:spacing w:after="0" w:before="0"/>
            </w:pPr>
            <w:r>
              <w:rPr>
                <w:rFonts w:ascii="Arial" w:cs="Arial" w:eastAsia="Arial" w:hAnsi="Arial"/>
                <w:color w:val="1A1A2E"/>
                <w:sz w:val="18"/>
                <w:szCs w:val="18"/>
              </w:rPr>
              <w:t xml:space="preserve">The shift from stateless model inference to persistent, tool-using agents is the most significant architectural change since RAG. Agents require persistent memory, tool registries, audit logging, and failure recovery.</w:t>
            </w:r>
          </w:p>
        </w:tc>
        <w:tc>
          <w:tcPr>
            <w:tcW w:type="dxa" w:w="120"/>
            <w:tcBorders>
              <w:top w:val="none" w:color="FFFFFF" w:sz="0"/>
              <w:left w:val="none" w:color="FFFFFF" w:sz="0"/>
              <w:bottom w:val="none" w:color="FFFFFF" w:sz="0"/>
              <w:right w:val="none" w:color="FFFFFF" w:sz="0"/>
            </w:tcBorders>
            <w:shd w:fill="FFFFFF" w:val="clear"/>
          </w:tcPr>
          <w:p/>
        </w:tc>
      </w:tr>
      <w:tr>
        <w:tc>
          <w:tcPr>
            <w:tcW w:type="dxa" w:w="44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vAlign w:val="top"/>
          </w:tcPr>
          <w:p>
            <w:pPr>
              <w:jc w:val="center"/>
            </w:pPr>
            <w:r>
              <w:rPr>
                <w:rFonts w:ascii="Arial" w:cs="Arial" w:eastAsia="Arial" w:hAnsi="Arial"/>
                <w:sz w:val="26"/>
                <w:szCs w:val="26"/>
              </w:rPr>
              <w:t xml:space="preserve">🌐</w:t>
            </w:r>
          </w:p>
        </w:tc>
        <w:tc>
          <w:tcPr>
            <w:tcW w:type="dxa" w:w="436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pPr>
              <w:spacing w:after="30" w:before="0"/>
            </w:pPr>
            <w:r>
              <w:rPr>
                <w:rFonts w:ascii="Arial" w:cs="Arial" w:eastAsia="Arial" w:hAnsi="Arial"/>
                <w:b/>
                <w:bCs/>
                <w:color w:val="1B3A6B"/>
                <w:sz w:val="19"/>
                <w:szCs w:val="19"/>
              </w:rPr>
              <w:t xml:space="preserve">Infrastructure as Geopolitics</w:t>
            </w:r>
          </w:p>
          <w:p>
            <w:pPr>
              <w:spacing w:after="0" w:before="0"/>
            </w:pPr>
            <w:r>
              <w:rPr>
                <w:rFonts w:ascii="Arial" w:cs="Arial" w:eastAsia="Arial" w:hAnsi="Arial"/>
                <w:color w:val="1A1A2E"/>
                <w:sz w:val="18"/>
                <w:szCs w:val="18"/>
              </w:rPr>
              <w:t xml:space="preserve">The $725–830B in hyperscaler CapEx is a geopolitical statement. AI sovereignty has emerged as a central policy principle. US CHIPS Act and EU Chips Act are reshaping semiconductor supply chains globally.</w:t>
            </w:r>
          </w:p>
        </w:tc>
        <w:tc>
          <w:tcPr>
            <w:tcW w:type="dxa" w:w="120"/>
            <w:tcBorders>
              <w:top w:val="none" w:color="FFFFFF" w:sz="0"/>
              <w:left w:val="none" w:color="FFFFFF" w:sz="0"/>
              <w:bottom w:val="none" w:color="FFFFFF" w:sz="0"/>
              <w:right w:val="none" w:color="FFFFFF" w:sz="0"/>
            </w:tcBorders>
            <w:shd w:fill="FFFFFF" w:val="clear"/>
          </w:tcPr>
          <w:p/>
        </w:tc>
      </w:tr>
      <w:tr>
        <w:tc>
          <w:tcPr>
            <w:tcW w:type="dxa" w:w="440"/>
            <w:tcBorders>
              <w:top w:val="none" w:color="FFFFFF" w:sz="0"/>
              <w:left w:val="none" w:color="FFFFFF" w:sz="0"/>
              <w:bottom w:val="none" w:color="FFFFFF" w:sz="0"/>
              <w:right w:val="none" w:color="FFFFFF" w:sz="0"/>
            </w:tcBorders>
            <w:shd w:fill="FFFFFF" w:val="clear"/>
            <w:tcMar>
              <w:top w:type="dxa" w:w="60"/>
              <w:left w:type="dxa" w:w="0"/>
              <w:bottom w:type="dxa" w:w="60"/>
              <w:right w:type="dxa" w:w="80"/>
            </w:tcMar>
            <w:vAlign w:val="top"/>
          </w:tcPr>
          <w:p>
            <w:pPr>
              <w:jc w:val="center"/>
            </w:pPr>
            <w:r>
              <w:rPr>
                <w:rFonts w:ascii="Arial" w:cs="Arial" w:eastAsia="Arial" w:hAnsi="Arial"/>
                <w:sz w:val="26"/>
                <w:szCs w:val="26"/>
              </w:rPr>
              <w:t xml:space="preserve">⚠️</w:t>
            </w:r>
          </w:p>
        </w:tc>
        <w:tc>
          <w:tcPr>
            <w:tcW w:type="dxa" w:w="436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pPr>
              <w:spacing w:after="30" w:before="0"/>
            </w:pPr>
            <w:r>
              <w:rPr>
                <w:rFonts w:ascii="Arial" w:cs="Arial" w:eastAsia="Arial" w:hAnsi="Arial"/>
                <w:b/>
                <w:bCs/>
                <w:color w:val="1B3A6B"/>
                <w:sz w:val="19"/>
                <w:szCs w:val="19"/>
              </w:rPr>
              <w:t xml:space="preserve">The Governance Gap</w:t>
            </w:r>
          </w:p>
          <w:p>
            <w:pPr>
              <w:spacing w:after="0" w:before="0"/>
            </w:pPr>
            <w:r>
              <w:rPr>
                <w:rFonts w:ascii="Arial" w:cs="Arial" w:eastAsia="Arial" w:hAnsi="Arial"/>
                <w:color w:val="1A1A2E"/>
                <w:sz w:val="18"/>
                <w:szCs w:val="18"/>
              </w:rPr>
              <w:t xml:space="preserve">68% of organizations have experienced data leakage from employees sharing sensitive information with AI tools. The International AI Safety Report 2026 (30+ countries) documents critical gaps in technical safeguards.</w:t>
            </w:r>
          </w:p>
        </w:tc>
        <w:tc>
          <w:tcPr>
            <w:tcW w:type="dxa" w:w="120"/>
            <w:tcBorders>
              <w:top w:val="none" w:color="FFFFFF" w:sz="0"/>
              <w:left w:val="none" w:color="FFFFFF" w:sz="0"/>
              <w:bottom w:val="none" w:color="FFFFFF" w:sz="0"/>
              <w:right w:val="none" w:color="FFFFFF" w:sz="0"/>
            </w:tcBorders>
            <w:shd w:fill="FFFFFF" w:val="clear"/>
          </w:tcPr>
          <w:p/>
        </w:tc>
      </w:tr>
    </w:tbl>
    <w:p>
      <w:pPr>
        <w:spacing w:after="0" w:before="0" w:line="80"/>
      </w:pPr>
    </w:p>
    <w:p>
      <w:pPr>
        <w:pBdr>
          <w:bottom w:val="single" w:color="2E6DB4" w:sz="6" w:space="2"/>
        </w:pBdr>
        <w:spacing w:after="60" w:before="200"/>
      </w:pPr>
      <w:r>
        <w:rPr>
          <w:rFonts w:ascii="Arial" w:cs="Arial" w:eastAsia="Arial" w:hAnsi="Arial"/>
          <w:b/>
          <w:bCs/>
          <w:color w:val="1B3A6B"/>
          <w:sz w:val="22"/>
          <w:szCs w:val="22"/>
        </w:rPr>
        <w:t xml:space="preserve">WORKFORCE &amp; EMPLOYMENT IMPACT</w:t>
      </w:r>
    </w:p>
    <w:p>
      <w:pPr>
        <w:spacing w:after="60" w:before="60" w:line="276"/>
      </w:pPr>
      <w:r>
        <w:rPr>
          <w:rFonts w:ascii="Arial" w:cs="Arial" w:eastAsia="Arial" w:hAnsi="Arial"/>
          <w:b w:val="false"/>
          <w:bCs w:val="false"/>
          <w:i w:val="false"/>
          <w:iCs w:val="false"/>
          <w:color w:val="1A1A2E"/>
          <w:sz w:val="19"/>
          <w:szCs w:val="19"/>
        </w:rPr>
        <w:t xml:space="preserve">AI is reshaping, not uniformly erasing, white-collar work. Key findings from the Federal Reserve/Duke study and Harvard Business School (March 2026):</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Automation-prone job postings declined 13% post-ChatGPT; analytical, technical, and creative roles grew 20% (HBS, 2026).</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Widespread but uneven productivity gains; routine clerical roles declining while technical roles rise (Fed Reserve Atlanta, Mar 2026).</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BCG 2026: 'AI will reshape more jobs than it replaces' — human-AI collaboration is the dominant pattern.</w:t>
      </w:r>
    </w:p>
    <w:p>
      <w:pPr>
        <w:spacing w:after="40" w:before="40" w:line="268"/>
        <w:ind w:left="360" w:hanging="220"/>
      </w:pPr>
      <w:r>
        <w:rPr>
          <w:rFonts w:ascii="Arial" w:cs="Arial" w:eastAsia="Arial" w:hAnsi="Arial"/>
          <w:color w:val="2E6DB4"/>
          <w:sz w:val="19"/>
          <w:szCs w:val="19"/>
        </w:rPr>
        <w:t xml:space="preserve">▸  </w:t>
      </w:r>
      <w:r>
        <w:rPr>
          <w:rFonts w:ascii="Arial" w:cs="Arial" w:eastAsia="Arial" w:hAnsi="Arial"/>
          <w:color w:val="1A1A2E"/>
          <w:sz w:val="19"/>
          <w:szCs w:val="19"/>
        </w:rPr>
        <w:t xml:space="preserve">In-demand skills: prompt engineering, AgentOps, AI governance, domain-specific AI application development.</w:t>
      </w:r>
    </w:p>
    <w:p>
      <w:pPr>
        <w:spacing w:after="0" w:before="0" w:line="120"/>
      </w:pPr>
    </w:p>
    <w:p>
      <w:pPr>
        <w:pBdr>
          <w:bottom w:val="single" w:color="2E6DB4" w:sz="6" w:space="2"/>
        </w:pBdr>
        <w:spacing w:after="60" w:before="200"/>
      </w:pPr>
      <w:r>
        <w:rPr>
          <w:rFonts w:ascii="Arial" w:cs="Arial" w:eastAsia="Arial" w:hAnsi="Arial"/>
          <w:b/>
          <w:bCs/>
          <w:color w:val="1B3A6B"/>
          <w:sz w:val="22"/>
          <w:szCs w:val="22"/>
        </w:rPr>
        <w:t xml:space="preserve">STRATEGIC OUTLOOK: NEXT 6–12 MONTHS</w:t>
      </w:r>
    </w:p>
    <w:p>
      <w:pPr>
        <w:spacing w:after="80" w:before="60" w:line="276"/>
      </w:pPr>
      <w:r>
        <w:rPr>
          <w:rFonts w:ascii="Arial" w:cs="Arial" w:eastAsia="Arial" w:hAnsi="Arial"/>
          <w:b w:val="false"/>
          <w:bCs w:val="false"/>
          <w:i w:val="false"/>
          <w:iCs w:val="false"/>
          <w:color w:val="1A1A2E"/>
          <w:sz w:val="19"/>
          <w:szCs w:val="19"/>
        </w:rPr>
        <w:t xml:space="preserve">Three dynamics will define the near-term: the agentic AI buildout (~75% of companies plan deployment within two years), the IPO wave (OpenAI targeting September 2026, Anthropic preparing), and regulatory crystallization anchored by the White House National AI Policy Framework (March 2026). Technical leaders who act now will lead rather than react.</w:t>
      </w:r>
    </w:p>
    <w:p>
      <w:pPr>
        <w:pBdr>
          <w:bottom w:val="single" w:color="2E6DB4" w:sz="6" w:space="2"/>
        </w:pBdr>
        <w:spacing w:after="60" w:before="200"/>
      </w:pPr>
      <w:r>
        <w:rPr>
          <w:rFonts w:ascii="Arial" w:cs="Arial" w:eastAsia="Arial" w:hAnsi="Arial"/>
          <w:b/>
          <w:bCs/>
          <w:color w:val="1B3A6B"/>
          <w:sz w:val="22"/>
          <w:szCs w:val="22"/>
        </w:rPr>
        <w:t xml:space="preserve">5 RECOMMENDATIONS FOR TECHNICAL LEADERS</w:t>
      </w:r>
    </w:p>
    <w:p>
      <w:pPr>
        <w:spacing w:after="0" w:before="0" w:lin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after="40" w:before="0"/>
            </w:pPr>
            <w:r>
              <w:rPr>
                <w:rFonts w:ascii="Arial" w:cs="Arial" w:eastAsia="Arial" w:hAnsi="Arial"/>
                <w:b/>
                <w:bCs/>
                <w:color w:val="C8982A"/>
                <w:sz w:val="20"/>
                <w:szCs w:val="20"/>
              </w:rPr>
              <w:t xml:space="preserve">1. </w:t>
            </w:r>
            <w:r>
              <w:rPr>
                <w:rFonts w:ascii="Arial" w:cs="Arial" w:eastAsia="Arial" w:hAnsi="Arial"/>
                <w:b/>
                <w:bCs/>
                <w:color w:val="1B3A6B"/>
                <w:sz w:val="20"/>
                <w:szCs w:val="20"/>
              </w:rPr>
              <w:t xml:space="preserve">Architect for Agents</w:t>
            </w:r>
          </w:p>
          <w:p>
            <w:pPr>
              <w:spacing w:after="0" w:before="0"/>
            </w:pPr>
            <w:r>
              <w:rPr>
                <w:rFonts w:ascii="Arial" w:cs="Arial" w:eastAsia="Arial" w:hAnsi="Arial"/>
                <w:color w:val="1A1A2E"/>
                <w:sz w:val="18"/>
                <w:szCs w:val="18"/>
              </w:rPr>
              <w:t xml:space="preserve">Redesign AI infrastructure to support persistent, tool-using agents as a first-class workload. Invest in AgentOps tooling (monitoring, logging, failure recovery) before scaling agent deployments.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after="40" w:before="0"/>
            </w:pPr>
            <w:r>
              <w:rPr>
                <w:rFonts w:ascii="Arial" w:cs="Arial" w:eastAsia="Arial" w:hAnsi="Arial"/>
                <w:b/>
                <w:bCs/>
                <w:color w:val="C8982A"/>
                <w:sz w:val="20"/>
                <w:szCs w:val="20"/>
              </w:rPr>
              <w:t xml:space="preserve">2. </w:t>
            </w:r>
            <w:r>
              <w:rPr>
                <w:rFonts w:ascii="Arial" w:cs="Arial" w:eastAsia="Arial" w:hAnsi="Arial"/>
                <w:b/>
                <w:bCs/>
                <w:color w:val="1B3A6B"/>
                <w:sz w:val="20"/>
                <w:szCs w:val="20"/>
              </w:rPr>
              <w:t xml:space="preserve">Close the Governance Gap</w:t>
            </w:r>
          </w:p>
          <w:p>
            <w:pPr>
              <w:spacing w:after="0" w:before="0"/>
            </w:pPr>
            <w:r>
              <w:rPr>
                <w:rFonts w:ascii="Arial" w:cs="Arial" w:eastAsia="Arial" w:hAnsi="Arial"/>
                <w:color w:val="1A1A2E"/>
                <w:sz w:val="18"/>
                <w:szCs w:val="18"/>
              </w:rPr>
              <w:t xml:space="preserve">Only 21% of companies have mature agent governance. Build data access controls, audit logging, and human-in-the-loop checkpoints for high-stakes decisions proactively.</w:t>
            </w:r>
          </w:p>
        </w:tc>
      </w:tr>
      <w:tr>
        <w:tc>
          <w:tcPr>
            <w:tcW w:type="dxa" w:w="9360"/>
            <w:tcBorders>
              <w:top w:val="none" w:color="FFFFFF" w:sz="0"/>
              <w:left w:val="none" w:color="FFFFFF" w:sz="0"/>
              <w:bottom w:val="none" w:color="FFFFFF" w:sz="0"/>
              <w:right w:val="none" w:color="FFFFFF" w:sz="0"/>
            </w:tcBorders>
            <w:shd w:fill="FFFFFF" w:val="clear"/>
          </w:tcPr>
          <w:p>
            <w:pPr>
              <w:spacing w:after="60" w:before="0"/>
            </w:pPr>
          </w:p>
        </w:tc>
      </w:tr>
      <w:tr>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after="40" w:before="0"/>
            </w:pPr>
            <w:r>
              <w:rPr>
                <w:rFonts w:ascii="Arial" w:cs="Arial" w:eastAsia="Arial" w:hAnsi="Arial"/>
                <w:b/>
                <w:bCs/>
                <w:color w:val="C8982A"/>
                <w:sz w:val="20"/>
                <w:szCs w:val="20"/>
              </w:rPr>
              <w:t xml:space="preserve">3. </w:t>
            </w:r>
            <w:r>
              <w:rPr>
                <w:rFonts w:ascii="Arial" w:cs="Arial" w:eastAsia="Arial" w:hAnsi="Arial"/>
                <w:b/>
                <w:bCs/>
                <w:color w:val="1B3A6B"/>
                <w:sz w:val="20"/>
                <w:szCs w:val="20"/>
              </w:rPr>
              <w:t xml:space="preserve">Multi-Provider Model Strategy</w:t>
            </w:r>
          </w:p>
          <w:p>
            <w:pPr>
              <w:spacing w:after="0" w:before="0"/>
            </w:pPr>
            <w:r>
              <w:rPr>
                <w:rFonts w:ascii="Arial" w:cs="Arial" w:eastAsia="Arial" w:hAnsi="Arial"/>
                <w:color w:val="1A1A2E"/>
                <w:sz w:val="18"/>
                <w:szCs w:val="18"/>
              </w:rPr>
              <w:t xml:space="preserve">No single model leads across all dimensions. Maintain evaluation pipelines for Claude (coding), GPT-5.x (reasoning), and Gemini (multimodal). Benchmark continuously.</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after="40" w:before="0"/>
            </w:pPr>
            <w:r>
              <w:rPr>
                <w:rFonts w:ascii="Arial" w:cs="Arial" w:eastAsia="Arial" w:hAnsi="Arial"/>
                <w:b/>
                <w:bCs/>
                <w:color w:val="C8982A"/>
                <w:sz w:val="20"/>
                <w:szCs w:val="20"/>
              </w:rPr>
              <w:t xml:space="preserve">4. </w:t>
            </w:r>
            <w:r>
              <w:rPr>
                <w:rFonts w:ascii="Arial" w:cs="Arial" w:eastAsia="Arial" w:hAnsi="Arial"/>
                <w:b/>
                <w:bCs/>
                <w:color w:val="1B3A6B"/>
                <w:sz w:val="20"/>
                <w:szCs w:val="20"/>
              </w:rPr>
              <w:t xml:space="preserve">Factor Energy into TCO</w:t>
            </w:r>
          </w:p>
          <w:p>
            <w:pPr>
              <w:spacing w:after="0" w:before="0"/>
            </w:pPr>
            <w:r>
              <w:rPr>
                <w:rFonts w:ascii="Arial" w:cs="Arial" w:eastAsia="Arial" w:hAnsi="Arial"/>
                <w:color w:val="1A1A2E"/>
                <w:sz w:val="18"/>
                <w:szCs w:val="18"/>
              </w:rPr>
              <w:t xml:space="preserve">Power and cooling costs are becoming material variables. Evaluate liquid cooling requirements for high-density GPU deployments and build energy projections into infrastructure plans.</w:t>
            </w:r>
          </w:p>
        </w:tc>
      </w:tr>
      <w:tr>
        <w:tc>
          <w:tcPr>
            <w:tcW w:type="dxa" w:w="9360"/>
            <w:tcBorders>
              <w:top w:val="none" w:color="FFFFFF" w:sz="0"/>
              <w:left w:val="none" w:color="FFFFFF" w:sz="0"/>
              <w:bottom w:val="none" w:color="FFFFFF" w:sz="0"/>
              <w:right w:val="none" w:color="FFFFFF" w:sz="0"/>
            </w:tcBorders>
            <w:shd w:fill="FFFFFF" w:val="clear"/>
          </w:tcPr>
          <w:p>
            <w:pPr>
              <w:spacing w:after="60" w:before="0"/>
            </w:pPr>
          </w:p>
        </w:tc>
      </w:tr>
      <w:tr>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after="40" w:before="0"/>
            </w:pPr>
            <w:r>
              <w:rPr>
                <w:rFonts w:ascii="Arial" w:cs="Arial" w:eastAsia="Arial" w:hAnsi="Arial"/>
                <w:b/>
                <w:bCs/>
                <w:color w:val="C8982A"/>
                <w:sz w:val="20"/>
                <w:szCs w:val="20"/>
              </w:rPr>
              <w:t xml:space="preserve">5. </w:t>
            </w:r>
            <w:r>
              <w:rPr>
                <w:rFonts w:ascii="Arial" w:cs="Arial" w:eastAsia="Arial" w:hAnsi="Arial"/>
                <w:b/>
                <w:bCs/>
                <w:color w:val="1B3A6B"/>
                <w:sz w:val="20"/>
                <w:szCs w:val="20"/>
              </w:rPr>
              <w:t xml:space="preserve">Invest in AI-Native Talent</w:t>
            </w:r>
          </w:p>
          <w:p>
            <w:pPr>
              <w:spacing w:after="0" w:before="0"/>
            </w:pPr>
            <w:r>
              <w:rPr>
                <w:rFonts w:ascii="Arial" w:cs="Arial" w:eastAsia="Arial" w:hAnsi="Arial"/>
                <w:color w:val="1A1A2E"/>
                <w:sz w:val="18"/>
                <w:szCs w:val="18"/>
              </w:rPr>
              <w:t xml:space="preserve">Prioritize reskilling in prompt engineering, human-AI collaboration, agent architecture, and AI governance. Organizations winning with AI invest in both people and tools simultaneously.</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4800"/>
            <w:tcBorders>
              <w:top w:val="none" w:color="FFFFFF" w:sz="0"/>
              <w:left w:val="none" w:color="FFFFFF" w:sz="0"/>
              <w:bottom w:val="none" w:color="FFFFFF" w:sz="0"/>
              <w:right w:val="none" w:color="FFFFFF" w:sz="0"/>
            </w:tcBorders>
            <w:shd w:fill="FFFFFF" w:val="clear"/>
          </w:tcPr>
          <w:p/>
        </w:tc>
      </w:tr>
    </w:tbl>
    <w:p>
      <w:pPr>
        <w:spacing w:after="0" w:before="0" w:line="160"/>
      </w:pPr>
    </w:p>
    <w:p>
      <w:pPr>
        <w:pBdr>
          <w:top w:val="single" w:color="CCCCCC" w:sz="4" w:space="4"/>
        </w:pBdr>
        <w:spacing w:after="0" w:before="60"/>
      </w:pPr>
      <w:r>
        <w:rPr>
          <w:rFonts w:ascii="Arial" w:cs="Arial" w:eastAsia="Arial" w:hAnsi="Arial"/>
          <w:b/>
          <w:bCs/>
          <w:color w:val="444466"/>
          <w:sz w:val="16"/>
          <w:szCs w:val="16"/>
        </w:rPr>
        <w:t xml:space="preserve">Sources: </w:t>
      </w:r>
      <w:r>
        <w:rPr>
          <w:rFonts w:ascii="Arial" w:cs="Arial" w:eastAsia="Arial" w:hAnsi="Arial"/>
          <w:i/>
          <w:iCs/>
          <w:color w:val="444466"/>
          <w:sz w:val="16"/>
          <w:szCs w:val="16"/>
        </w:rPr>
        <w:t xml:space="preserve">Gartner, Deloitte (State of AI in the Enterprise 2026), TrendForce, Bloomberg, Stanford HAI AI Index 2026, International AI Safety Report 2026, Federal Reserve Atlanta, Harvard Business School, BCG, OpenAI Newsroom, Anthropic, Google, Microsoft. Research window: March–May 2026.</w:t>
      </w:r>
    </w:p>
    <w:sectPr>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66"/>
        <w:sz w:val="16"/>
        <w:szCs w:val="16"/>
      </w:rPr>
      <w:t xml:space="preserve">For Technical Leaders  |  Confidential  |  AI Trends Executive Summary — May 31,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2026-06-06T05:17:04.328Z</dcterms:created>
  <dcterms:modified xsi:type="dcterms:W3CDTF">2026-06-06T05:17:04.329Z</dcterms:modified>
</cp:coreProperties>
</file>

<file path=docProps/custom.xml><?xml version="1.0" encoding="utf-8"?>
<Properties xmlns="http://schemas.openxmlformats.org/officeDocument/2006/custom-properties" xmlns:vt="http://schemas.openxmlformats.org/officeDocument/2006/docPropsVTypes"/>
</file>