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Turvallinen read-only DEX-arbitraasiskanneri</w:t>
      </w:r>
    </w:p>
    <w:p>
      <w:r>
        <w:rPr>
          <w:b/>
          <w:bCs/>
          <w:rStyle w:val="Normal"/>
        </w:rPr>
        <w:t xml:space="preserve">Suositeltu ensimmäinen prototyyppi: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Ketju:</w:t>
      </w:r>
      <w:r>
        <w:rPr>
          <w:rStyle w:val="Normal"/>
        </w:rPr>
        <w:t xml:space="preserve"> Base mainnet, chain ID </w:t>
      </w:r>
      <w:r>
        <w:rPr>
          <w:rStyle w:val="Quote"/>
        </w:rPr>
        <w:t xml:space="preserve">8453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Pari:</w:t>
      </w:r>
      <w:r>
        <w:rPr>
          <w:rStyle w:val="Normal"/>
        </w:rPr>
        <w:t xml:space="preserve"> canonical </w:t>
      </w:r>
      <w:r>
        <w:rPr>
          <w:b/>
          <w:bCs/>
          <w:rStyle w:val="Normal"/>
        </w:rPr>
        <w:t xml:space="preserve">USDC / WETH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DEXit: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Uniswap v3</w:t>
      </w:r>
      <w:r>
        <w:rPr>
          <w:rStyle w:val="Normal"/>
        </w:rPr>
        <w:t xml:space="preserve"> ja </w:t>
      </w:r>
      <w:r>
        <w:rPr>
          <w:b/>
          <w:bCs/>
          <w:rStyle w:val="Normal"/>
        </w:rPr>
        <w:t xml:space="preserve">PancakeSwap v3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Tekniikka:</w:t>
      </w:r>
      <w:r>
        <w:rPr>
          <w:rStyle w:val="Normal"/>
        </w:rPr>
        <w:t xml:space="preserve"> Node.js + TypeScript + </w:t>
      </w:r>
      <w:r>
        <w:rPr>
          <w:rStyle w:val="Quote"/>
        </w:rPr>
        <w:t xml:space="preserve">viem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Data:</w:t>
      </w:r>
      <w:r>
        <w:rPr>
          <w:rStyle w:val="Normal"/>
        </w:rPr>
        <w:t xml:space="preserve"> suoraan ketjusta QuoterV2-sopimusten kautta, kaikki kyselyt samasta lohkosta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Hälytys:</w:t>
      </w:r>
      <w:r>
        <w:rPr>
          <w:rStyle w:val="Normal"/>
        </w:rPr>
        <w:t xml:space="preserve"> aluksi vain konsoliin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Ei koskaan:</w:t>
      </w:r>
      <w:r>
        <w:rPr>
          <w:rStyle w:val="Normal"/>
        </w:rPr>
        <w:t xml:space="preserve"> walletia, private keytä, hyväksyntöjä, allekirjoituksia, </w:t>
      </w:r>
      <w:r>
        <w:rPr>
          <w:rStyle w:val="Quote"/>
        </w:rPr>
        <w:t xml:space="preserve">sendTransaction</w:t>
      </w:r>
      <w:r>
        <w:rPr>
          <w:rStyle w:val="Normal"/>
        </w:rPr>
        <w:t xml:space="preserve">- tai </w:t>
      </w:r>
      <w:r>
        <w:rPr>
          <w:rStyle w:val="Quote"/>
        </w:rPr>
        <w:t xml:space="preserve">writeContract</w:t>
      </w:r>
      <w:r>
        <w:rPr>
          <w:rStyle w:val="Normal"/>
        </w:rPr>
        <w:t xml:space="preserve">-kutsuja</w:t>
      </w:r>
    </w:p>
    <w:p>
      <w:r>
        <w:drawing>
          <wp:inline distT="0" distB="0" distL="0" distR="0">
            <wp:extent cx="5734050" cy="6886575"/>
            <wp:effectExtent b="0" l="0" r="0" t="0"/>
            <wp:docPr id="1" name="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Miksi Base + Uniswap v3 + PancakeSwap v3?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Valinta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Perustelu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Base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EVM-yhteensopiva, tavallinen JSON-RPC ja virallinen julkinen RPC. Base dokumentoi julkisen päätepisteensä rate-limited-palveluksi, joten se sopii kokeiluun mutta ei suuren skannerin pysyväksi infrastruktuuriksi. Katso </w:t>
            </w:r>
            <w:hyperlink w:history="1" r:id="rIdp9rnczttf1u8uhtzhev2j">
              <w:r>
                <w:rPr>
                  <w:rStyle w:val="Hyperlink"/>
                </w:rPr>
                <w:t xml:space="preserve">Connecting to Base</w:t>
              </w:r>
            </w:hyperlink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Uniswap v3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Hyvin dokumentoitu QuoterV2 ja viralliset deployment-osoitteet. Smart Order Router huomioi myös reittejä ja kaasukuluja, mutta MVP:ssä käytämme yksinkertaisempaa single-pool quotea. Katso </w:t>
            </w:r>
            <w:hyperlink w:history="1" r:id="rIdtzy8h10njngtkoelnw2wc">
              <w:r>
                <w:rPr>
                  <w:rStyle w:val="Hyperlink"/>
                </w:rPr>
                <w:t xml:space="preserve">Uniswap Base deployments</w:t>
              </w:r>
            </w:hyperlink>
            <w:r>
              <w:rPr>
                <w:rStyle w:val="Normal"/>
              </w:rPr>
              <w:t xml:space="preserve"> ja </w:t>
            </w:r>
            <w:hyperlink w:history="1" r:id="rIdrxeijbyksqdtwn6plxyki">
              <w:r>
                <w:rPr>
                  <w:rStyle w:val="Hyperlink"/>
                </w:rPr>
                <w:t xml:space="preserve">QuoterV2</w:t>
              </w:r>
            </w:hyperlink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PancakeSwap v3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Base-deployment ja v3-quoter; rajapinta on riittävän lähellä Uniswapin QuoterV2:ta, jotta molemmat voidaan toteuttaa yhdellä adapterilla. Katso </w:t>
            </w:r>
            <w:hyperlink w:history="1" r:id="rIduxlxenapiyooj4ci8ihd5">
              <w:r>
                <w:rPr>
                  <w:rStyle w:val="Hyperlink"/>
                </w:rPr>
                <w:t xml:space="preserve">PancakeSwap v3 addresses</w:t>
              </w:r>
            </w:hyperlink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USDC/WETH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Vältetään native ETH:n ja WETH:n sekoittaminen. Molemmilla tokeneilla on yksiselitteinen osoite ja desimaalimäärä ketjun sisällä.</w:t>
            </w:r>
          </w:p>
        </w:tc>
      </w:tr>
    </w:tbl>
    <w:p>
      <w:r>
        <w:rPr>
          <w:rStyle w:val="Normal"/>
        </w:rPr>
        <w:t xml:space="preserve">Valinta kahdesta DEXistä on tarkoituksellinen. Esimerkiksi Aerodrome/Slipstream olisi luonteva kolmas Base-DEX, mutta se tuo heti uuden allas- ja reititysadapterin. Lisää se vasta, kun saman lohkon quote-logiikka, lokitus ja false-positive-mittaus toimivat.</w:t>
      </w:r>
    </w:p>
    <w:p>
      <w:pPr>
        <w:pStyle w:val="Heading3"/>
      </w:pPr>
      <w:r>
        <w:rPr>
          <w:rStyle w:val="Normal"/>
        </w:rPr>
        <w:t xml:space="preserve">Prototyypissä käytetyt osoitteet</w:t>
      </w:r>
    </w:p>
    <w:p>
      <w:r>
        <w:rPr>
          <w:rStyle w:val="Normal"/>
        </w:rPr>
        <w:t xml:space="preserve">Tarkista nämä aina uudelleen yllä olevilta virallisilta deployment-sivuilta ennen käynnistystä: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Base chain ID: 8453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USDC:  0x833589fCD6eDb6E08f4c7C32D4f71b54bdA02913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WETH:  0x4200000000000000000000000000000000000006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Uniswap v3 QuoterV2: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0x3d4e44Eb1374240CE5F1B871ab261CD16335B76a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PancakeSwap v3 QuoterV2: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0xB048Bbc1Ee6b733FFfCFb9e9CeF7375518e25997</w:t>
            </w:r>
          </w:p>
        </w:tc>
      </w:tr>
    </w:tbl>
    <w:p>
      <w:r>
        <w:rPr>
          <w:rStyle w:val="Normal"/>
        </w:rPr>
        <w:t xml:space="preserve">Koodi tarkistaa lisäksi, että osoitteissa todella on bytecodea ja että tokenien </w:t>
      </w:r>
      <w:r>
        <w:rPr>
          <w:rStyle w:val="Quote"/>
        </w:rPr>
        <w:t xml:space="preserve">decimals()</w:t>
      </w:r>
      <w:r>
        <w:rPr>
          <w:rStyle w:val="Normal"/>
        </w:rPr>
        <w:t xml:space="preserve"> palauttaa odotetut arvot. Bytecode-tarkistus ei kuitenkaan todista sopimuksen alkuperää — siksi virallinen deployment-lista on ensisijainen lähde.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Arkkitehtuuri</w:t>
      </w:r>
    </w:p>
    <w:p>
      <w:r>
        <w:drawing>
          <wp:inline distT="0" distB="0" distL="0" distR="0">
            <wp:extent cx="5734050" cy="685800"/>
            <wp:effectExtent b="0" l="0" r="0" t="0"/>
            <wp:docPr id="1" name="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Style w:val="Normal"/>
        </w:rPr>
        <w:t xml:space="preserve">Arvioi molemmat suunnat: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9rnczttf1u8uhtzhev2j" Type="http://schemas.openxmlformats.org/officeDocument/2006/relationships/hyperlink" Target="https://docs.base.org/base-chain/quickstart/connecting-to-base" TargetMode="External"/><Relationship Id="rIdtzy8h10njngtkoelnw2wc" Type="http://schemas.openxmlformats.org/officeDocument/2006/relationships/hyperlink" Target="https://docs.uniswap.org/contracts/v3/reference/deployments/base-deployments" TargetMode="External"/><Relationship Id="rIdrxeijbyksqdtwn6plxyki" Type="http://schemas.openxmlformats.org/officeDocument/2006/relationships/hyperlink" Target="https://docs.uniswap.org/contracts/v3/reference/periphery/lens/QuoterV2" TargetMode="External"/><Relationship Id="rIduxlxenapiyooj4ci8ihd5" Type="http://schemas.openxmlformats.org/officeDocument/2006/relationships/hyperlink" Target="https://developer.pancakeswap.finance/contracts/v3/addresses" TargetMode="External"/><Relationship Id="rId6" Type="http://schemas.openxmlformats.org/officeDocument/2006/relationships/image" Target="media/lpqrhegk4gg4mlz2hl0dt.png"/><Relationship Id="rId7" Type="http://schemas.openxmlformats.org/officeDocument/2006/relationships/image" Target="media/mcmtrye4z5fuavjgzrslo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2026-10-18T13:10:34.534Z</dcterms:created>
  <dcterms:modified xsi:type="dcterms:W3CDTF">2026-10-18T13:10:34.534Z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