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64748B"/>
          <w:sz w:val="24"/>
        </w:rPr>
        <w:t>DEPARTMENT OF COMPUTER SCIENCE &amp; ENGINEERING</w:t>
        <w:br/>
        <w:t>COLLEGE OF ENGINEERING &amp; TECHNOLOGY</w:t>
      </w:r>
    </w:p>
    <w:p>
      <w:pPr>
        <w:spacing w:before="640" w:after="240"/>
        <w:jc w:val="center"/>
      </w:pPr>
      <w:r>
        <w:rPr>
          <w:rFonts w:ascii="Calibri" w:hAnsi="Calibri"/>
          <w:b/>
          <w:color w:val="0D9488"/>
          <w:sz w:val="28"/>
        </w:rPr>
        <w:t>MAJOR CAPSTONE PROJECT REPORT</w:t>
      </w:r>
    </w:p>
    <w:p>
      <w:pPr>
        <w:spacing w:before="240" w:after="160"/>
        <w:jc w:val="center"/>
      </w:pPr>
      <w:r>
        <w:rPr>
          <w:rFonts w:ascii="Calibri" w:hAnsi="Calibri"/>
          <w:b/>
          <w:color w:val="064E3B"/>
          <w:sz w:val="48"/>
        </w:rPr>
        <w:t>GREEN GRID: SMART ENERGY MANAGEMENT SYSTEM</w:t>
      </w:r>
    </w:p>
    <w:p>
      <w:pPr>
        <w:spacing w:before="80" w:after="720"/>
        <w:jc w:val="center"/>
      </w:pPr>
      <w:r>
        <w:rPr>
          <w:rFonts w:ascii="Calibri" w:hAnsi="Calibri"/>
          <w:i/>
          <w:color w:val="1E293B"/>
          <w:sz w:val="24"/>
        </w:rPr>
        <w:t>An Enterprise IoT Telemetry Ingestion, Renewable Generation &amp; Storage Dispatch, Metrology Analytics, and Predictive Load Forecasting Platform</w:t>
      </w:r>
    </w:p>
    <w:p>
      <w:pPr>
        <w:spacing w:before="400" w:after="720"/>
        <w:jc w:val="center"/>
      </w:pPr>
      <w:r>
        <w:rPr>
          <w:rFonts w:ascii="Calibri" w:hAnsi="Calibri"/>
          <w:color w:val="1E293B"/>
          <w:sz w:val="22"/>
        </w:rPr>
        <w:t>Submitted in partial fulfillment of the requirements</w:t>
        <w:br/>
        <w:t>for the degree of</w:t>
        <w:br/>
        <w:t>BACHELOR OF TECHNOLOGY</w:t>
        <w:br/>
        <w:t>in</w:t>
        <w:br/>
        <w:t>COMPUTER SCIENCE AND ENGINEERING</w:t>
      </w:r>
    </w:p>
    <w:tbl>
      <w:tblPr>
        <w:tblW w:type="auto" w:w="0"/>
        <w:jc w:val="center"/>
        <w:tblLayout w:type="fixed"/>
        <w:tblLook w:firstColumn="1" w:firstRow="1" w:lastColumn="0" w:lastRow="0" w:noHBand="0" w:noVBand="1" w:val="04A0"/>
      </w:tblPr>
      <w:tblGrid>
        <w:gridCol w:w="4680"/>
        <w:gridCol w:w="4680"/>
      </w:tblGrid>
      <w:tr>
        <w:tc>
          <w:tcPr>
            <w:tcW w:type="dxa" w:w="4680"/>
          </w:tcPr>
          <w:p>
            <w:r>
              <w:rPr>
                <w:b/>
                <w:color w:val="064E3B"/>
                <w:sz w:val="21"/>
              </w:rPr>
              <w:t>SUBMITTED BY:</w:t>
            </w:r>
          </w:p>
        </w:tc>
        <w:tc>
          <w:tcPr>
            <w:tcW w:type="dxa" w:w="4680"/>
          </w:tcPr>
          <w:p>
            <w:pPr>
              <w:jc w:val="right"/>
            </w:pPr>
            <w:r>
              <w:rPr>
                <w:b/>
                <w:color w:val="064E3B"/>
                <w:sz w:val="21"/>
              </w:rPr>
              <w:t>UNDER THE GUIDANCE OF:</w:t>
            </w:r>
          </w:p>
        </w:tc>
      </w:tr>
      <w:tr>
        <w:tc>
          <w:tcPr>
            <w:tcW w:type="dxa" w:w="4680"/>
          </w:tcPr>
          <w:p>
            <w:r>
              <w:rPr>
                <w:sz w:val="21"/>
              </w:rPr>
              <w:t>Shivam Kumar Patel</w:t>
              <w:br/>
              <w:t>B.Tech (CSE) Final Year</w:t>
              <w:br/>
              <w:t>Enrollment / Scholar ID: CSE-2022-GG</w:t>
            </w:r>
          </w:p>
        </w:tc>
        <w:tc>
          <w:tcPr>
            <w:tcW w:type="dxa" w:w="4680"/>
          </w:tcPr>
          <w:p>
            <w:pPr>
              <w:jc w:val="right"/>
            </w:pPr>
            <w:r>
              <w:rPr>
                <w:sz w:val="21"/>
              </w:rPr>
              <w:t>Faculty Project Supervisor</w:t>
              <w:br/>
              <w:t>Department of Computer Science &amp; Engg.</w:t>
              <w:br/>
              <w:t>Faculty of Engineering &amp; Technology</w:t>
            </w:r>
          </w:p>
        </w:tc>
      </w:tr>
    </w:tbl>
    <w:p>
      <w:pPr>
        <w:spacing w:before="960" w:after="0"/>
        <w:jc w:val="center"/>
      </w:pPr>
      <w:r>
        <w:rPr>
          <w:b/>
          <w:color w:val="64748B"/>
          <w:sz w:val="22"/>
        </w:rPr>
        <w:t>ACADEMIC SESSION: 2025 – 2026</w:t>
      </w:r>
    </w:p>
    <w:p>
      <w:r>
        <w:br w:type="page"/>
      </w:r>
    </w:p>
    <w:p>
      <w:pPr>
        <w:keepNext/>
        <w:spacing w:before="360" w:after="160"/>
      </w:pPr>
      <w:r>
        <w:rPr>
          <w:rFonts w:ascii="Calibri" w:hAnsi="Calibri"/>
          <w:b/>
          <w:color w:val="064E3B"/>
          <w:sz w:val="34"/>
        </w:rPr>
        <w:t>CERTIFICATE OF ORIGINAL WORK</w:t>
      </w:r>
    </w:p>
    <w:p>
      <w:pPr>
        <w:spacing w:line="288" w:lineRule="auto"/>
      </w:pPr>
      <w:r>
        <w:t>This is to certify that the project entitled "GREEN GRID: SMART ENERGY MANAGEMENT SYSTEM", submitted by Shivam Kumar Patel in partial fulfillment of the requirements for the award of the degree of Bachelor of Technology in Computer Science and Engineering, is an authentic record of bonafide project work carried out under my supervision and guidance during the academic session 2025–2026.</w:t>
      </w:r>
    </w:p>
    <w:p>
      <w:r>
        <w:t>The results embodied in this report have been thoroughly verified and have not been submitted to any other University or Institute for the award of any degree, diploma, or fellowship.</w:t>
      </w:r>
    </w:p>
    <w:p>
      <w:pPr>
        <w:spacing w:before="1280" w:after="0"/>
      </w:pPr>
    </w:p>
    <w:tbl>
      <w:tblPr>
        <w:tblW w:type="auto" w:w="0"/>
        <w:jc w:val="center"/>
        <w:tblLook w:firstColumn="1" w:firstRow="1" w:lastColumn="0" w:lastRow="0" w:noHBand="0" w:noVBand="1" w:val="04A0"/>
      </w:tblPr>
      <w:tblGrid>
        <w:gridCol w:w="3168"/>
        <w:gridCol w:w="3168"/>
        <w:gridCol w:w="3168"/>
      </w:tblGrid>
      <w:tr>
        <w:tc>
          <w:tcPr>
            <w:tcW w:type="dxa" w:w="3120"/>
          </w:tcPr>
          <w:p>
            <w:r>
              <w:rPr>
                <w:sz w:val="20"/>
              </w:rPr>
              <w:t>_____________________</w:t>
              <w:br/>
              <w:t>Project Supervisor</w:t>
              <w:br/>
              <w:t>Dept. of CSE</w:t>
            </w:r>
          </w:p>
        </w:tc>
        <w:tc>
          <w:tcPr>
            <w:tcW w:type="dxa" w:w="3120"/>
          </w:tcPr>
          <w:p>
            <w:r>
              <w:rPr>
                <w:sz w:val="20"/>
              </w:rPr>
              <w:t>_____________________</w:t>
              <w:br/>
              <w:t>Head of Department</w:t>
              <w:br/>
              <w:t>Dept. of CSE</w:t>
            </w:r>
          </w:p>
        </w:tc>
        <w:tc>
          <w:tcPr>
            <w:tcW w:type="dxa" w:w="3120"/>
          </w:tcPr>
          <w:p>
            <w:r>
              <w:rPr>
                <w:sz w:val="20"/>
              </w:rPr>
              <w:t>_____________________</w:t>
              <w:br/>
              <w:t>External Examiner</w:t>
              <w:br/>
              <w:t>Board of Evaluators</w:t>
            </w:r>
          </w:p>
        </w:tc>
      </w:tr>
    </w:tbl>
    <w:p>
      <w:r>
        <w:br w:type="page"/>
      </w:r>
    </w:p>
    <w:p>
      <w:pPr>
        <w:keepNext/>
        <w:spacing w:before="360" w:after="160"/>
      </w:pPr>
      <w:r>
        <w:rPr>
          <w:rFonts w:ascii="Calibri" w:hAnsi="Calibri"/>
          <w:b/>
          <w:color w:val="064E3B"/>
          <w:sz w:val="34"/>
        </w:rPr>
        <w:t>CANDIDATE'S DECLARATION</w:t>
      </w:r>
    </w:p>
    <w:p>
      <w:r>
        <w:t>I hereby declare that the capstone project work entitled "GREEN GRID: SMART ENERGY MANAGEMENT SYSTEM" is an authentic record of my own original technical work conducted under the academic supervision of the Department of Computer Science &amp; Engineering.</w:t>
      </w:r>
    </w:p>
    <w:p>
      <w:r>
        <w:t>I confirm that I have adhered to all academic integrity norms. All concepts, algorithms, frameworks, and literature sourced from external publications or open-source documentation have been appropriately cited and referenced according to IEEE guidelines.</w:t>
      </w:r>
    </w:p>
    <w:p>
      <w:r>
        <w:t>I further declare that this work does not infringe upon any existing intellectual property or software copyrights.</w:t>
      </w:r>
    </w:p>
    <w:p>
      <w:pPr>
        <w:spacing w:before="960"/>
      </w:pPr>
      <w:r>
        <w:t>Date: 30 September 2026</w:t>
        <w:br/>
        <w:t>Place: Campus</w:t>
        <w:br/>
        <w:br/>
        <w:br/>
        <w:t>___________________________</w:t>
        <w:br/>
        <w:t>Shivam Kumar Patel</w:t>
        <w:br/>
        <w:t>B.Tech CSE Final Year</w:t>
      </w:r>
    </w:p>
    <w:p>
      <w:r>
        <w:br w:type="page"/>
      </w:r>
    </w:p>
    <w:p>
      <w:pPr>
        <w:keepNext/>
        <w:spacing w:before="360" w:after="160"/>
      </w:pPr>
      <w:r>
        <w:rPr>
          <w:rFonts w:ascii="Calibri" w:hAnsi="Calibri"/>
          <w:b/>
          <w:color w:val="064E3B"/>
          <w:sz w:val="34"/>
        </w:rPr>
        <w:t>ACKNOWLEDGEMENT</w:t>
      </w:r>
    </w:p>
    <w:p>
      <w:r>
        <w:t>The successful completion of this major project report has been made possible through the constant guidance, constructive critiques, and valuable insights provided by my project supervisor and the esteemed faculty members of the Department of Computer Science &amp; Engineering.</w:t>
      </w:r>
    </w:p>
    <w:p>
      <w:r>
        <w:t>I express my profound gratitude to the Head of the Department for providing the computational infrastructure, laboratory facilities, and uninterrupted support required to design, develop, and benchmark this full-stack Smart Energy Management System.</w:t>
      </w:r>
    </w:p>
    <w:p>
      <w:r>
        <w:t>I am also deeply grateful to the open-source engineering community whose robust libraries—including Django, Django REST Framework, React, Vite, Tailwind CSS, Recharts, and Scikit-learn—made it possible to construct an enterprise-grade energy platform meeting modern industrial and environmental standards.</w:t>
      </w:r>
    </w:p>
    <w:p>
      <w:r>
        <w:t>Lastly, I thank my family, peers, and fellow researchers whose patience and encouragement provided endless motivation throughout this engineering endeavor.</w:t>
      </w:r>
    </w:p>
    <w:p>
      <w:r>
        <w:br w:type="page"/>
      </w:r>
    </w:p>
    <w:p>
      <w:pPr>
        <w:keepNext/>
        <w:spacing w:before="360" w:after="160"/>
      </w:pPr>
      <w:r>
        <w:rPr>
          <w:rFonts w:ascii="Calibri" w:hAnsi="Calibri"/>
          <w:b/>
          <w:color w:val="064E3B"/>
          <w:sz w:val="34"/>
        </w:rPr>
        <w:t>ABSTRACT</w:t>
      </w:r>
    </w:p>
    <w:p>
      <w:pPr>
        <w:spacing w:line="288" w:lineRule="auto"/>
      </w:pPr>
      <w:r>
        <w:t>With escalating commercial power tariffs, stringent carbon emission mandates, and widespread deployment of decentralized renewable energy assets, traditional Building Energy Management Systems (BEMS) face severe architectural limitations. Legacy systems are predominantly hardware-locked, lack real-time power quality metrology (Power Factor, Total Harmonic Distortion, reactive power kVAR), fail to dynamically account for battery storage (BESS) state-of-charge, and rely on manual, post-hoc utility billing rather than proactive load forecasting.</w:t>
      </w:r>
    </w:p>
    <w:p>
      <w:r>
        <w:t>This project presents GREEN GRID, an enterprise-grade, cloud-ready Smart Energy Management System engineered to deliver real-time sub-metering telemetry ingestion, distributed renewable asset monitoring, automated multi-tier high-tension (HT) commercial utility billing, threshold-based electrical anomaly detection, and predictive load forecasting across diverse multi-facility campuses.</w:t>
      </w:r>
    </w:p>
    <w:p>
      <w:r>
        <w:t>GreenGrid implements a decoupled three-tier architecture comprising a modern React 18 single-page application styled with Tailwind CSS and Recharts, backed by a resilient Python/Django and Django REST Framework (DRF) service tier, with SQLite 3 serving as the local relational datastore. The platform ingests granular electrical parameters—including active demand (kW), consumption (kWh), reactive power (kVAR), power factor, voltage, frequency, and harmonic distortion (THD)—and maintains both instantaneous telemetry and daily historical aggregates across 12 distinct campus facilities.</w:t>
      </w:r>
    </w:p>
    <w:p>
      <w:r>
        <w:t>Integrated specialized modules track rooftop Solar Photovoltaic (PV) yield alongside Battery Energy Storage Systems (BESS) state-of-charge, efficiency, and thermal stability. A high-performance commercial tariff engine executes automated tiered calculations, peak surcharge penalties, and solar net-metering credits, while an embedded Scikit-learn predictive forecasting engine extrapolates load trends across 1, 3, 7, and 14-day horizons. Rigorous verification demonstrates sub-50ms API response latencies, resilient non-blocking UI rendering, and automated CSV regulatory compliance export, establishing GreenGrid as a viable, cost-effective framework for sustainable university and industrial microgrid management.</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0D9488"/>
              <w:bottom w:val="none"/>
              <w:right w:val="none"/>
            </w:tcBorders>
          </w:tcPr>
          <w:p>
            <w:pPr>
              <w:spacing w:before="40" w:after="40" w:line="276" w:lineRule="auto"/>
            </w:pPr>
            <w:r>
              <w:rPr>
                <w:rFonts w:ascii="Calibri" w:hAnsi="Calibri"/>
                <w:b/>
                <w:color w:val="064E3B"/>
                <w:sz w:val="21"/>
              </w:rPr>
              <w:t>INDEX TERMS</w:t>
              <w:br/>
            </w:r>
            <w:r>
              <w:rPr>
                <w:rFonts w:ascii="Calibri" w:hAnsi="Calibri"/>
                <w:color w:val="1E293B"/>
                <w:sz w:val="20"/>
              </w:rPr>
              <w:t>Keywords: Smart Energy Management System (BEMS), Distributed Energy Resources (DER), Sub-metering Metrology, Solar Photovoltaic, Battery Energy Storage (BESS), Multi-tier Commercial Tariffs, Time-Series Load Forecasting, Django REST Framework, React.</w:t>
            </w:r>
          </w:p>
        </w:tc>
      </w:tr>
    </w:tbl>
    <w:p>
      <w:pPr>
        <w:spacing w:before="0" w:after="80"/>
      </w:pPr>
    </w:p>
    <w:p>
      <w:r>
        <w:br w:type="page"/>
      </w:r>
    </w:p>
    <w:p>
      <w:pPr>
        <w:keepNext/>
        <w:spacing w:before="360" w:after="160"/>
      </w:pPr>
      <w:r>
        <w:rPr>
          <w:rFonts w:ascii="Calibri" w:hAnsi="Calibri"/>
          <w:b/>
          <w:color w:val="064E3B"/>
          <w:sz w:val="34"/>
        </w:rPr>
        <w:t>TABLE OF CONTENTS</w:t>
      </w:r>
    </w:p>
    <w:tbl>
      <w:tblPr>
        <w:tblW w:type="auto" w:w="0"/>
        <w:jc w:val="center"/>
        <w:tblLook w:firstColumn="1" w:firstRow="1" w:lastColumn="0" w:lastRow="0" w:noHBand="0" w:noVBand="1" w:val="04A0"/>
      </w:tblPr>
      <w:tblGrid>
        <w:gridCol w:w="7920"/>
        <w:gridCol w:w="1440"/>
      </w:tblGrid>
      <w:tr>
        <w:tc>
          <w:tcPr>
            <w:tcW w:type="dxa" w:w="4680"/>
          </w:tcPr>
          <w:p>
            <w:pPr>
              <w:spacing w:before="20" w:after="20"/>
            </w:pPr>
            <w:r>
              <w:rPr>
                <w:b/>
                <w:color w:val="064E3B"/>
                <w:sz w:val="20"/>
              </w:rPr>
              <w:t>Certificate of Original Work</w:t>
            </w:r>
          </w:p>
        </w:tc>
        <w:tc>
          <w:tcPr>
            <w:tcW w:type="dxa" w:w="4680"/>
          </w:tcPr>
          <w:p>
            <w:pPr>
              <w:spacing w:before="20" w:after="20"/>
              <w:jc w:val="right"/>
            </w:pPr>
            <w:r>
              <w:rPr>
                <w:b/>
                <w:color w:val="064E3B"/>
                <w:sz w:val="20"/>
              </w:rPr>
              <w:t>ii</w:t>
            </w:r>
          </w:p>
        </w:tc>
      </w:tr>
      <w:tr>
        <w:tc>
          <w:tcPr>
            <w:tcW w:type="dxa" w:w="4680"/>
          </w:tcPr>
          <w:p>
            <w:pPr>
              <w:spacing w:before="20" w:after="20"/>
            </w:pPr>
            <w:r>
              <w:rPr>
                <w:b/>
                <w:color w:val="064E3B"/>
                <w:sz w:val="20"/>
              </w:rPr>
              <w:t>Candidate's Declaration</w:t>
            </w:r>
          </w:p>
        </w:tc>
        <w:tc>
          <w:tcPr>
            <w:tcW w:type="dxa" w:w="4680"/>
          </w:tcPr>
          <w:p>
            <w:pPr>
              <w:spacing w:before="20" w:after="20"/>
              <w:jc w:val="right"/>
            </w:pPr>
            <w:r>
              <w:rPr>
                <w:b/>
                <w:color w:val="064E3B"/>
                <w:sz w:val="20"/>
              </w:rPr>
              <w:t>iii</w:t>
            </w:r>
          </w:p>
        </w:tc>
      </w:tr>
      <w:tr>
        <w:tc>
          <w:tcPr>
            <w:tcW w:type="dxa" w:w="4680"/>
          </w:tcPr>
          <w:p>
            <w:pPr>
              <w:spacing w:before="20" w:after="20"/>
            </w:pPr>
            <w:r>
              <w:rPr>
                <w:b/>
                <w:color w:val="064E3B"/>
                <w:sz w:val="20"/>
              </w:rPr>
              <w:t>Acknowledgement</w:t>
            </w:r>
          </w:p>
        </w:tc>
        <w:tc>
          <w:tcPr>
            <w:tcW w:type="dxa" w:w="4680"/>
          </w:tcPr>
          <w:p>
            <w:pPr>
              <w:spacing w:before="20" w:after="20"/>
              <w:jc w:val="right"/>
            </w:pPr>
            <w:r>
              <w:rPr>
                <w:b/>
                <w:color w:val="064E3B"/>
                <w:sz w:val="20"/>
              </w:rPr>
              <w:t>iv</w:t>
            </w:r>
          </w:p>
        </w:tc>
      </w:tr>
      <w:tr>
        <w:tc>
          <w:tcPr>
            <w:tcW w:type="dxa" w:w="4680"/>
          </w:tcPr>
          <w:p>
            <w:pPr>
              <w:spacing w:before="20" w:after="20"/>
            </w:pPr>
            <w:r>
              <w:rPr>
                <w:b/>
                <w:color w:val="064E3B"/>
                <w:sz w:val="20"/>
              </w:rPr>
              <w:t>Abstract</w:t>
            </w:r>
          </w:p>
        </w:tc>
        <w:tc>
          <w:tcPr>
            <w:tcW w:type="dxa" w:w="4680"/>
          </w:tcPr>
          <w:p>
            <w:pPr>
              <w:spacing w:before="20" w:after="20"/>
              <w:jc w:val="right"/>
            </w:pPr>
            <w:r>
              <w:rPr>
                <w:b/>
                <w:color w:val="064E3B"/>
                <w:sz w:val="20"/>
              </w:rPr>
              <w:t>v</w:t>
            </w:r>
          </w:p>
        </w:tc>
      </w:tr>
      <w:tr>
        <w:tc>
          <w:tcPr>
            <w:tcW w:type="dxa" w:w="4680"/>
          </w:tcPr>
          <w:p>
            <w:pPr>
              <w:spacing w:before="20" w:after="20"/>
            </w:pPr>
            <w:r>
              <w:rPr>
                <w:b/>
                <w:color w:val="064E3B"/>
                <w:sz w:val="20"/>
              </w:rPr>
              <w:t>List of Figures</w:t>
            </w:r>
          </w:p>
        </w:tc>
        <w:tc>
          <w:tcPr>
            <w:tcW w:type="dxa" w:w="4680"/>
          </w:tcPr>
          <w:p>
            <w:pPr>
              <w:spacing w:before="20" w:after="20"/>
              <w:jc w:val="right"/>
            </w:pPr>
            <w:r>
              <w:rPr>
                <w:b/>
                <w:color w:val="064E3B"/>
                <w:sz w:val="20"/>
              </w:rPr>
              <w:t>viii</w:t>
            </w:r>
          </w:p>
        </w:tc>
      </w:tr>
      <w:tr>
        <w:tc>
          <w:tcPr>
            <w:tcW w:type="dxa" w:w="4680"/>
          </w:tcPr>
          <w:p>
            <w:pPr>
              <w:spacing w:before="20" w:after="20"/>
            </w:pPr>
            <w:r>
              <w:rPr>
                <w:b/>
                <w:color w:val="064E3B"/>
                <w:sz w:val="20"/>
              </w:rPr>
              <w:t>List of Tables</w:t>
            </w:r>
          </w:p>
        </w:tc>
        <w:tc>
          <w:tcPr>
            <w:tcW w:type="dxa" w:w="4680"/>
          </w:tcPr>
          <w:p>
            <w:pPr>
              <w:spacing w:before="20" w:after="20"/>
              <w:jc w:val="right"/>
            </w:pPr>
            <w:r>
              <w:rPr>
                <w:b/>
                <w:color w:val="064E3B"/>
                <w:sz w:val="20"/>
              </w:rPr>
              <w:t>ix</w:t>
            </w:r>
          </w:p>
        </w:tc>
      </w:tr>
      <w:tr>
        <w:tc>
          <w:tcPr>
            <w:tcW w:type="dxa" w:w="4680"/>
          </w:tcPr>
          <w:p>
            <w:pPr>
              <w:spacing w:before="20" w:after="20"/>
            </w:pPr>
            <w:r>
              <w:rPr>
                <w:b/>
                <w:color w:val="064E3B"/>
                <w:sz w:val="20"/>
              </w:rPr>
              <w:t>Chapter 1: Introduction</w:t>
            </w:r>
          </w:p>
        </w:tc>
        <w:tc>
          <w:tcPr>
            <w:tcW w:type="dxa" w:w="4680"/>
          </w:tcPr>
          <w:p>
            <w:pPr>
              <w:spacing w:before="20" w:after="20"/>
              <w:jc w:val="right"/>
            </w:pPr>
            <w:r>
              <w:rPr>
                <w:b/>
                <w:color w:val="064E3B"/>
                <w:sz w:val="20"/>
              </w:rPr>
              <w:t>1</w:t>
            </w:r>
          </w:p>
        </w:tc>
      </w:tr>
      <w:tr>
        <w:tc>
          <w:tcPr>
            <w:tcW w:type="dxa" w:w="4680"/>
          </w:tcPr>
          <w:p>
            <w:pPr>
              <w:spacing w:before="20" w:after="20"/>
            </w:pPr>
            <w:r>
              <w:rPr>
                <w:sz w:val="20"/>
              </w:rPr>
              <w:t xml:space="preserve">   1.1 Background &amp; Motivation</w:t>
            </w:r>
          </w:p>
        </w:tc>
        <w:tc>
          <w:tcPr>
            <w:tcW w:type="dxa" w:w="4680"/>
          </w:tcPr>
          <w:p>
            <w:pPr>
              <w:spacing w:before="20" w:after="20"/>
              <w:jc w:val="right"/>
            </w:pPr>
            <w:r>
              <w:rPr>
                <w:sz w:val="20"/>
              </w:rPr>
              <w:t>1</w:t>
            </w:r>
          </w:p>
        </w:tc>
      </w:tr>
      <w:tr>
        <w:tc>
          <w:tcPr>
            <w:tcW w:type="dxa" w:w="4680"/>
          </w:tcPr>
          <w:p>
            <w:pPr>
              <w:spacing w:before="20" w:after="20"/>
            </w:pPr>
            <w:r>
              <w:rPr>
                <w:sz w:val="20"/>
              </w:rPr>
              <w:t xml:space="preserve">   1.2 Problem Statement</w:t>
            </w:r>
          </w:p>
        </w:tc>
        <w:tc>
          <w:tcPr>
            <w:tcW w:type="dxa" w:w="4680"/>
          </w:tcPr>
          <w:p>
            <w:pPr>
              <w:spacing w:before="20" w:after="20"/>
              <w:jc w:val="right"/>
            </w:pPr>
            <w:r>
              <w:rPr>
                <w:sz w:val="20"/>
              </w:rPr>
              <w:t>2</w:t>
            </w:r>
          </w:p>
        </w:tc>
      </w:tr>
      <w:tr>
        <w:tc>
          <w:tcPr>
            <w:tcW w:type="dxa" w:w="4680"/>
          </w:tcPr>
          <w:p>
            <w:pPr>
              <w:spacing w:before="20" w:after="20"/>
            </w:pPr>
            <w:r>
              <w:rPr>
                <w:sz w:val="20"/>
              </w:rPr>
              <w:t xml:space="preserve">   1.3 Project Objectives</w:t>
            </w:r>
          </w:p>
        </w:tc>
        <w:tc>
          <w:tcPr>
            <w:tcW w:type="dxa" w:w="4680"/>
          </w:tcPr>
          <w:p>
            <w:pPr>
              <w:spacing w:before="20" w:after="20"/>
              <w:jc w:val="right"/>
            </w:pPr>
            <w:r>
              <w:rPr>
                <w:sz w:val="20"/>
              </w:rPr>
              <w:t>3</w:t>
            </w:r>
          </w:p>
        </w:tc>
      </w:tr>
      <w:tr>
        <w:tc>
          <w:tcPr>
            <w:tcW w:type="dxa" w:w="4680"/>
          </w:tcPr>
          <w:p>
            <w:pPr>
              <w:spacing w:before="20" w:after="20"/>
            </w:pPr>
            <w:r>
              <w:rPr>
                <w:sz w:val="20"/>
              </w:rPr>
              <w:t xml:space="preserve">   1.4 Scope and Delimitations</w:t>
            </w:r>
          </w:p>
        </w:tc>
        <w:tc>
          <w:tcPr>
            <w:tcW w:type="dxa" w:w="4680"/>
          </w:tcPr>
          <w:p>
            <w:pPr>
              <w:spacing w:before="20" w:after="20"/>
              <w:jc w:val="right"/>
            </w:pPr>
            <w:r>
              <w:rPr>
                <w:sz w:val="20"/>
              </w:rPr>
              <w:t>4</w:t>
            </w:r>
          </w:p>
        </w:tc>
      </w:tr>
      <w:tr>
        <w:tc>
          <w:tcPr>
            <w:tcW w:type="dxa" w:w="4680"/>
          </w:tcPr>
          <w:p>
            <w:pPr>
              <w:spacing w:before="20" w:after="20"/>
            </w:pPr>
            <w:r>
              <w:rPr>
                <w:b/>
                <w:color w:val="064E3B"/>
                <w:sz w:val="20"/>
              </w:rPr>
              <w:t>Chapter 2: Literature Survey &amp; Existing System Analysis</w:t>
            </w:r>
          </w:p>
        </w:tc>
        <w:tc>
          <w:tcPr>
            <w:tcW w:type="dxa" w:w="4680"/>
          </w:tcPr>
          <w:p>
            <w:pPr>
              <w:spacing w:before="20" w:after="20"/>
              <w:jc w:val="right"/>
            </w:pPr>
            <w:r>
              <w:rPr>
                <w:b/>
                <w:color w:val="064E3B"/>
                <w:sz w:val="20"/>
              </w:rPr>
              <w:t>5</w:t>
            </w:r>
          </w:p>
        </w:tc>
      </w:tr>
      <w:tr>
        <w:tc>
          <w:tcPr>
            <w:tcW w:type="dxa" w:w="4680"/>
          </w:tcPr>
          <w:p>
            <w:pPr>
              <w:spacing w:before="20" w:after="20"/>
            </w:pPr>
            <w:r>
              <w:rPr>
                <w:sz w:val="20"/>
              </w:rPr>
              <w:t xml:space="preserve">   2.1 Evolution of Building Energy Management Systems</w:t>
            </w:r>
          </w:p>
        </w:tc>
        <w:tc>
          <w:tcPr>
            <w:tcW w:type="dxa" w:w="4680"/>
          </w:tcPr>
          <w:p>
            <w:pPr>
              <w:spacing w:before="20" w:after="20"/>
              <w:jc w:val="right"/>
            </w:pPr>
            <w:r>
              <w:rPr>
                <w:sz w:val="20"/>
              </w:rPr>
              <w:t>5</w:t>
            </w:r>
          </w:p>
        </w:tc>
      </w:tr>
      <w:tr>
        <w:tc>
          <w:tcPr>
            <w:tcW w:type="dxa" w:w="4680"/>
          </w:tcPr>
          <w:p>
            <w:pPr>
              <w:spacing w:before="20" w:after="20"/>
            </w:pPr>
            <w:r>
              <w:rPr>
                <w:sz w:val="20"/>
              </w:rPr>
              <w:t xml:space="preserve">   2.2 Power Quality &amp; Metrology Standards</w:t>
            </w:r>
          </w:p>
        </w:tc>
        <w:tc>
          <w:tcPr>
            <w:tcW w:type="dxa" w:w="4680"/>
          </w:tcPr>
          <w:p>
            <w:pPr>
              <w:spacing w:before="20" w:after="20"/>
              <w:jc w:val="right"/>
            </w:pPr>
            <w:r>
              <w:rPr>
                <w:sz w:val="20"/>
              </w:rPr>
              <w:t>6</w:t>
            </w:r>
          </w:p>
        </w:tc>
      </w:tr>
      <w:tr>
        <w:tc>
          <w:tcPr>
            <w:tcW w:type="dxa" w:w="4680"/>
          </w:tcPr>
          <w:p>
            <w:pPr>
              <w:spacing w:before="20" w:after="20"/>
            </w:pPr>
            <w:r>
              <w:rPr>
                <w:sz w:val="20"/>
              </w:rPr>
              <w:t xml:space="preserve">   2.3 Analysis of Commercial Solutions &amp; Gaps</w:t>
            </w:r>
          </w:p>
        </w:tc>
        <w:tc>
          <w:tcPr>
            <w:tcW w:type="dxa" w:w="4680"/>
          </w:tcPr>
          <w:p>
            <w:pPr>
              <w:spacing w:before="20" w:after="20"/>
              <w:jc w:val="right"/>
            </w:pPr>
            <w:r>
              <w:rPr>
                <w:sz w:val="20"/>
              </w:rPr>
              <w:t>7</w:t>
            </w:r>
          </w:p>
        </w:tc>
      </w:tr>
      <w:tr>
        <w:tc>
          <w:tcPr>
            <w:tcW w:type="dxa" w:w="4680"/>
          </w:tcPr>
          <w:p>
            <w:pPr>
              <w:spacing w:before="20" w:after="20"/>
            </w:pPr>
            <w:r>
              <w:rPr>
                <w:sz w:val="20"/>
              </w:rPr>
              <w:t xml:space="preserve">   2.4 Technical Comparison Matrix</w:t>
            </w:r>
          </w:p>
        </w:tc>
        <w:tc>
          <w:tcPr>
            <w:tcW w:type="dxa" w:w="4680"/>
          </w:tcPr>
          <w:p>
            <w:pPr>
              <w:spacing w:before="20" w:after="20"/>
              <w:jc w:val="right"/>
            </w:pPr>
            <w:r>
              <w:rPr>
                <w:sz w:val="20"/>
              </w:rPr>
              <w:t>8</w:t>
            </w:r>
          </w:p>
        </w:tc>
      </w:tr>
      <w:tr>
        <w:tc>
          <w:tcPr>
            <w:tcW w:type="dxa" w:w="4680"/>
          </w:tcPr>
          <w:p>
            <w:pPr>
              <w:spacing w:before="20" w:after="20"/>
            </w:pPr>
            <w:r>
              <w:rPr>
                <w:b/>
                <w:color w:val="064E3B"/>
                <w:sz w:val="20"/>
              </w:rPr>
              <w:t>Chapter 3: System Analysis &amp; Requirements Specification</w:t>
            </w:r>
          </w:p>
        </w:tc>
        <w:tc>
          <w:tcPr>
            <w:tcW w:type="dxa" w:w="4680"/>
          </w:tcPr>
          <w:p>
            <w:pPr>
              <w:spacing w:before="20" w:after="20"/>
              <w:jc w:val="right"/>
            </w:pPr>
            <w:r>
              <w:rPr>
                <w:b/>
                <w:color w:val="064E3B"/>
                <w:sz w:val="20"/>
              </w:rPr>
              <w:t>9</w:t>
            </w:r>
          </w:p>
        </w:tc>
      </w:tr>
      <w:tr>
        <w:tc>
          <w:tcPr>
            <w:tcW w:type="dxa" w:w="4680"/>
          </w:tcPr>
          <w:p>
            <w:pPr>
              <w:spacing w:before="20" w:after="20"/>
            </w:pPr>
            <w:r>
              <w:rPr>
                <w:sz w:val="20"/>
              </w:rPr>
              <w:t xml:space="preserve">   3.1 Stakeholder Analysis &amp; Personas</w:t>
            </w:r>
          </w:p>
        </w:tc>
        <w:tc>
          <w:tcPr>
            <w:tcW w:type="dxa" w:w="4680"/>
          </w:tcPr>
          <w:p>
            <w:pPr>
              <w:spacing w:before="20" w:after="20"/>
              <w:jc w:val="right"/>
            </w:pPr>
            <w:r>
              <w:rPr>
                <w:sz w:val="20"/>
              </w:rPr>
              <w:t>9</w:t>
            </w:r>
          </w:p>
        </w:tc>
      </w:tr>
      <w:tr>
        <w:tc>
          <w:tcPr>
            <w:tcW w:type="dxa" w:w="4680"/>
          </w:tcPr>
          <w:p>
            <w:pPr>
              <w:spacing w:before="20" w:after="20"/>
            </w:pPr>
            <w:r>
              <w:rPr>
                <w:sz w:val="20"/>
              </w:rPr>
              <w:t xml:space="preserve">   3.2 Functional Requirements (FR-01 to FR-12)</w:t>
            </w:r>
          </w:p>
        </w:tc>
        <w:tc>
          <w:tcPr>
            <w:tcW w:type="dxa" w:w="4680"/>
          </w:tcPr>
          <w:p>
            <w:pPr>
              <w:spacing w:before="20" w:after="20"/>
              <w:jc w:val="right"/>
            </w:pPr>
            <w:r>
              <w:rPr>
                <w:sz w:val="20"/>
              </w:rPr>
              <w:t>10</w:t>
            </w:r>
          </w:p>
        </w:tc>
      </w:tr>
      <w:tr>
        <w:tc>
          <w:tcPr>
            <w:tcW w:type="dxa" w:w="4680"/>
          </w:tcPr>
          <w:p>
            <w:pPr>
              <w:spacing w:before="20" w:after="20"/>
            </w:pPr>
            <w:r>
              <w:rPr>
                <w:sz w:val="20"/>
              </w:rPr>
              <w:t xml:space="preserve">   3.3 Non-Functional Requirements (NFR-01 to NFR-08)</w:t>
            </w:r>
          </w:p>
        </w:tc>
        <w:tc>
          <w:tcPr>
            <w:tcW w:type="dxa" w:w="4680"/>
          </w:tcPr>
          <w:p>
            <w:pPr>
              <w:spacing w:before="20" w:after="20"/>
              <w:jc w:val="right"/>
            </w:pPr>
            <w:r>
              <w:rPr>
                <w:sz w:val="20"/>
              </w:rPr>
              <w:t>12</w:t>
            </w:r>
          </w:p>
        </w:tc>
      </w:tr>
      <w:tr>
        <w:tc>
          <w:tcPr>
            <w:tcW w:type="dxa" w:w="4680"/>
          </w:tcPr>
          <w:p>
            <w:pPr>
              <w:spacing w:before="20" w:after="20"/>
            </w:pPr>
            <w:r>
              <w:rPr>
                <w:sz w:val="20"/>
              </w:rPr>
              <w:t xml:space="preserve">   3.4 Hardware and Software Environment Specifications</w:t>
            </w:r>
          </w:p>
        </w:tc>
        <w:tc>
          <w:tcPr>
            <w:tcW w:type="dxa" w:w="4680"/>
          </w:tcPr>
          <w:p>
            <w:pPr>
              <w:spacing w:before="20" w:after="20"/>
              <w:jc w:val="right"/>
            </w:pPr>
            <w:r>
              <w:rPr>
                <w:sz w:val="20"/>
              </w:rPr>
              <w:t>13</w:t>
            </w:r>
          </w:p>
        </w:tc>
      </w:tr>
      <w:tr>
        <w:tc>
          <w:tcPr>
            <w:tcW w:type="dxa" w:w="4680"/>
          </w:tcPr>
          <w:p>
            <w:pPr>
              <w:spacing w:before="20" w:after="20"/>
            </w:pPr>
            <w:r>
              <w:rPr>
                <w:b/>
                <w:color w:val="064E3B"/>
                <w:sz w:val="20"/>
              </w:rPr>
              <w:t>Chapter 4: System Architecture &amp; Design</w:t>
            </w:r>
          </w:p>
        </w:tc>
        <w:tc>
          <w:tcPr>
            <w:tcW w:type="dxa" w:w="4680"/>
          </w:tcPr>
          <w:p>
            <w:pPr>
              <w:spacing w:before="20" w:after="20"/>
              <w:jc w:val="right"/>
            </w:pPr>
            <w:r>
              <w:rPr>
                <w:b/>
                <w:color w:val="064E3B"/>
                <w:sz w:val="20"/>
              </w:rPr>
              <w:t>15</w:t>
            </w:r>
          </w:p>
        </w:tc>
      </w:tr>
      <w:tr>
        <w:tc>
          <w:tcPr>
            <w:tcW w:type="dxa" w:w="4680"/>
          </w:tcPr>
          <w:p>
            <w:pPr>
              <w:spacing w:before="20" w:after="20"/>
            </w:pPr>
            <w:r>
              <w:rPr>
                <w:sz w:val="20"/>
              </w:rPr>
              <w:t xml:space="preserve">   4.1 Three-Tier Decoupled System Architecture</w:t>
            </w:r>
          </w:p>
        </w:tc>
        <w:tc>
          <w:tcPr>
            <w:tcW w:type="dxa" w:w="4680"/>
          </w:tcPr>
          <w:p>
            <w:pPr>
              <w:spacing w:before="20" w:after="20"/>
              <w:jc w:val="right"/>
            </w:pPr>
            <w:r>
              <w:rPr>
                <w:sz w:val="20"/>
              </w:rPr>
              <w:t>15</w:t>
            </w:r>
          </w:p>
        </w:tc>
      </w:tr>
      <w:tr>
        <w:tc>
          <w:tcPr>
            <w:tcW w:type="dxa" w:w="4680"/>
          </w:tcPr>
          <w:p>
            <w:pPr>
              <w:spacing w:before="20" w:after="20"/>
            </w:pPr>
            <w:r>
              <w:rPr>
                <w:sz w:val="20"/>
              </w:rPr>
              <w:t xml:space="preserve">   4.2 Component Interaction &amp; Communication Protocols</w:t>
            </w:r>
          </w:p>
        </w:tc>
        <w:tc>
          <w:tcPr>
            <w:tcW w:type="dxa" w:w="4680"/>
          </w:tcPr>
          <w:p>
            <w:pPr>
              <w:spacing w:before="20" w:after="20"/>
              <w:jc w:val="right"/>
            </w:pPr>
            <w:r>
              <w:rPr>
                <w:sz w:val="20"/>
              </w:rPr>
              <w:t>16</w:t>
            </w:r>
          </w:p>
        </w:tc>
      </w:tr>
      <w:tr>
        <w:tc>
          <w:tcPr>
            <w:tcW w:type="dxa" w:w="4680"/>
          </w:tcPr>
          <w:p>
            <w:pPr>
              <w:spacing w:before="20" w:after="20"/>
            </w:pPr>
            <w:r>
              <w:rPr>
                <w:sz w:val="20"/>
              </w:rPr>
              <w:t xml:space="preserve">   4.3 Comprehensive Database Schema &amp; Entity-Relationship Model</w:t>
            </w:r>
          </w:p>
        </w:tc>
        <w:tc>
          <w:tcPr>
            <w:tcW w:type="dxa" w:w="4680"/>
          </w:tcPr>
          <w:p>
            <w:pPr>
              <w:spacing w:before="20" w:after="20"/>
              <w:jc w:val="right"/>
            </w:pPr>
            <w:r>
              <w:rPr>
                <w:sz w:val="20"/>
              </w:rPr>
              <w:t>17</w:t>
            </w:r>
          </w:p>
        </w:tc>
      </w:tr>
      <w:tr>
        <w:tc>
          <w:tcPr>
            <w:tcW w:type="dxa" w:w="4680"/>
          </w:tcPr>
          <w:p>
            <w:pPr>
              <w:spacing w:before="20" w:after="20"/>
            </w:pPr>
            <w:r>
              <w:rPr>
                <w:sz w:val="20"/>
              </w:rPr>
              <w:t xml:space="preserve">   4.4 Data Flow Diagrams (DFD Level 0 &amp; Level 1)</w:t>
            </w:r>
          </w:p>
        </w:tc>
        <w:tc>
          <w:tcPr>
            <w:tcW w:type="dxa" w:w="4680"/>
          </w:tcPr>
          <w:p>
            <w:pPr>
              <w:spacing w:before="20" w:after="20"/>
              <w:jc w:val="right"/>
            </w:pPr>
            <w:r>
              <w:rPr>
                <w:sz w:val="20"/>
              </w:rPr>
              <w:t>20</w:t>
            </w:r>
          </w:p>
        </w:tc>
      </w:tr>
      <w:tr>
        <w:tc>
          <w:tcPr>
            <w:tcW w:type="dxa" w:w="4680"/>
          </w:tcPr>
          <w:p>
            <w:pPr>
              <w:spacing w:before="20" w:after="20"/>
            </w:pPr>
            <w:r>
              <w:rPr>
                <w:b/>
                <w:color w:val="064E3B"/>
                <w:sz w:val="20"/>
              </w:rPr>
              <w:t>Chapter 5: Implementation &amp; Module Specification</w:t>
            </w:r>
          </w:p>
        </w:tc>
        <w:tc>
          <w:tcPr>
            <w:tcW w:type="dxa" w:w="4680"/>
          </w:tcPr>
          <w:p>
            <w:pPr>
              <w:spacing w:before="20" w:after="20"/>
              <w:jc w:val="right"/>
            </w:pPr>
            <w:r>
              <w:rPr>
                <w:b/>
                <w:color w:val="064E3B"/>
                <w:sz w:val="20"/>
              </w:rPr>
              <w:t>22</w:t>
            </w:r>
          </w:p>
        </w:tc>
      </w:tr>
      <w:tr>
        <w:tc>
          <w:tcPr>
            <w:tcW w:type="dxa" w:w="4680"/>
          </w:tcPr>
          <w:p>
            <w:pPr>
              <w:spacing w:before="20" w:after="20"/>
            </w:pPr>
            <w:r>
              <w:rPr>
                <w:sz w:val="20"/>
              </w:rPr>
              <w:t xml:space="preserve">   5.1 Authentication &amp; Role-Based Access Control</w:t>
            </w:r>
          </w:p>
        </w:tc>
        <w:tc>
          <w:tcPr>
            <w:tcW w:type="dxa" w:w="4680"/>
          </w:tcPr>
          <w:p>
            <w:pPr>
              <w:spacing w:before="20" w:after="20"/>
              <w:jc w:val="right"/>
            </w:pPr>
            <w:r>
              <w:rPr>
                <w:sz w:val="20"/>
              </w:rPr>
              <w:t>22</w:t>
            </w:r>
          </w:p>
        </w:tc>
      </w:tr>
      <w:tr>
        <w:tc>
          <w:tcPr>
            <w:tcW w:type="dxa" w:w="4680"/>
          </w:tcPr>
          <w:p>
            <w:pPr>
              <w:spacing w:before="20" w:after="20"/>
            </w:pPr>
            <w:r>
              <w:rPr>
                <w:sz w:val="20"/>
              </w:rPr>
              <w:t xml:space="preserve">   5.2 Multi-Facility Hierarchy &amp; Organizational Modeling</w:t>
            </w:r>
          </w:p>
        </w:tc>
        <w:tc>
          <w:tcPr>
            <w:tcW w:type="dxa" w:w="4680"/>
          </w:tcPr>
          <w:p>
            <w:pPr>
              <w:spacing w:before="20" w:after="20"/>
              <w:jc w:val="right"/>
            </w:pPr>
            <w:r>
              <w:rPr>
                <w:sz w:val="20"/>
              </w:rPr>
              <w:t>23</w:t>
            </w:r>
          </w:p>
        </w:tc>
      </w:tr>
      <w:tr>
        <w:tc>
          <w:tcPr>
            <w:tcW w:type="dxa" w:w="4680"/>
          </w:tcPr>
          <w:p>
            <w:pPr>
              <w:spacing w:before="20" w:after="20"/>
            </w:pPr>
            <w:r>
              <w:rPr>
                <w:sz w:val="20"/>
              </w:rPr>
              <w:t xml:space="preserve">   5.3 Smart Metering &amp; Telemetry Ingestion Engine</w:t>
            </w:r>
          </w:p>
        </w:tc>
        <w:tc>
          <w:tcPr>
            <w:tcW w:type="dxa" w:w="4680"/>
          </w:tcPr>
          <w:p>
            <w:pPr>
              <w:spacing w:before="20" w:after="20"/>
              <w:jc w:val="right"/>
            </w:pPr>
            <w:r>
              <w:rPr>
                <w:sz w:val="20"/>
              </w:rPr>
              <w:t>24</w:t>
            </w:r>
          </w:p>
        </w:tc>
      </w:tr>
      <w:tr>
        <w:tc>
          <w:tcPr>
            <w:tcW w:type="dxa" w:w="4680"/>
          </w:tcPr>
          <w:p>
            <w:pPr>
              <w:spacing w:before="20" w:after="20"/>
            </w:pPr>
            <w:r>
              <w:rPr>
                <w:sz w:val="20"/>
              </w:rPr>
              <w:t xml:space="preserve">   5.4 Daily Energy Aggregation &amp; Metrology Pipeline</w:t>
            </w:r>
          </w:p>
        </w:tc>
        <w:tc>
          <w:tcPr>
            <w:tcW w:type="dxa" w:w="4680"/>
          </w:tcPr>
          <w:p>
            <w:pPr>
              <w:spacing w:before="20" w:after="20"/>
              <w:jc w:val="right"/>
            </w:pPr>
            <w:r>
              <w:rPr>
                <w:sz w:val="20"/>
              </w:rPr>
              <w:t>25</w:t>
            </w:r>
          </w:p>
        </w:tc>
      </w:tr>
      <w:tr>
        <w:tc>
          <w:tcPr>
            <w:tcW w:type="dxa" w:w="4680"/>
          </w:tcPr>
          <w:p>
            <w:pPr>
              <w:spacing w:before="20" w:after="20"/>
            </w:pPr>
            <w:r>
              <w:rPr>
                <w:sz w:val="20"/>
              </w:rPr>
              <w:t xml:space="preserve">   5.5 Renewable Solar PV &amp; Yield Tracking</w:t>
            </w:r>
          </w:p>
        </w:tc>
        <w:tc>
          <w:tcPr>
            <w:tcW w:type="dxa" w:w="4680"/>
          </w:tcPr>
          <w:p>
            <w:pPr>
              <w:spacing w:before="20" w:after="20"/>
              <w:jc w:val="right"/>
            </w:pPr>
            <w:r>
              <w:rPr>
                <w:sz w:val="20"/>
              </w:rPr>
              <w:t>26</w:t>
            </w:r>
          </w:p>
        </w:tc>
      </w:tr>
      <w:tr>
        <w:tc>
          <w:tcPr>
            <w:tcW w:type="dxa" w:w="4680"/>
          </w:tcPr>
          <w:p>
            <w:pPr>
              <w:spacing w:before="20" w:after="20"/>
            </w:pPr>
            <w:r>
              <w:rPr>
                <w:sz w:val="20"/>
              </w:rPr>
              <w:t xml:space="preserve">   5.6 Battery Energy Storage System (BESS) Monitoring</w:t>
            </w:r>
          </w:p>
        </w:tc>
        <w:tc>
          <w:tcPr>
            <w:tcW w:type="dxa" w:w="4680"/>
          </w:tcPr>
          <w:p>
            <w:pPr>
              <w:spacing w:before="20" w:after="20"/>
              <w:jc w:val="right"/>
            </w:pPr>
            <w:r>
              <w:rPr>
                <w:sz w:val="20"/>
              </w:rPr>
              <w:t>27</w:t>
            </w:r>
          </w:p>
        </w:tc>
      </w:tr>
      <w:tr>
        <w:tc>
          <w:tcPr>
            <w:tcW w:type="dxa" w:w="4680"/>
          </w:tcPr>
          <w:p>
            <w:pPr>
              <w:spacing w:before="20" w:after="20"/>
            </w:pPr>
            <w:r>
              <w:rPr>
                <w:sz w:val="20"/>
              </w:rPr>
              <w:t xml:space="preserve">   5.7 HT Commercial Multi-Tier Utility Billing Engine</w:t>
            </w:r>
          </w:p>
        </w:tc>
        <w:tc>
          <w:tcPr>
            <w:tcW w:type="dxa" w:w="4680"/>
          </w:tcPr>
          <w:p>
            <w:pPr>
              <w:spacing w:before="20" w:after="20"/>
              <w:jc w:val="right"/>
            </w:pPr>
            <w:r>
              <w:rPr>
                <w:sz w:val="20"/>
              </w:rPr>
              <w:t>28</w:t>
            </w:r>
          </w:p>
        </w:tc>
      </w:tr>
      <w:tr>
        <w:tc>
          <w:tcPr>
            <w:tcW w:type="dxa" w:w="4680"/>
          </w:tcPr>
          <w:p>
            <w:pPr>
              <w:spacing w:before="20" w:after="20"/>
            </w:pPr>
            <w:r>
              <w:rPr>
                <w:sz w:val="20"/>
              </w:rPr>
              <w:t xml:space="preserve">   5.8 Metrology &amp; Electrical Quality Analytics Engine</w:t>
            </w:r>
          </w:p>
        </w:tc>
        <w:tc>
          <w:tcPr>
            <w:tcW w:type="dxa" w:w="4680"/>
          </w:tcPr>
          <w:p>
            <w:pPr>
              <w:spacing w:before="20" w:after="20"/>
              <w:jc w:val="right"/>
            </w:pPr>
            <w:r>
              <w:rPr>
                <w:sz w:val="20"/>
              </w:rPr>
              <w:t>29</w:t>
            </w:r>
          </w:p>
        </w:tc>
      </w:tr>
      <w:tr>
        <w:tc>
          <w:tcPr>
            <w:tcW w:type="dxa" w:w="4680"/>
          </w:tcPr>
          <w:p>
            <w:pPr>
              <w:spacing w:before="20" w:after="20"/>
            </w:pPr>
            <w:r>
              <w:rPr>
                <w:sz w:val="20"/>
              </w:rPr>
              <w:t xml:space="preserve">   5.9 Predictive Demand Forecasting Engine</w:t>
            </w:r>
          </w:p>
        </w:tc>
        <w:tc>
          <w:tcPr>
            <w:tcW w:type="dxa" w:w="4680"/>
          </w:tcPr>
          <w:p>
            <w:pPr>
              <w:spacing w:before="20" w:after="20"/>
              <w:jc w:val="right"/>
            </w:pPr>
            <w:r>
              <w:rPr>
                <w:sz w:val="20"/>
              </w:rPr>
              <w:t>30</w:t>
            </w:r>
          </w:p>
        </w:tc>
      </w:tr>
      <w:tr>
        <w:tc>
          <w:tcPr>
            <w:tcW w:type="dxa" w:w="4680"/>
          </w:tcPr>
          <w:p>
            <w:pPr>
              <w:spacing w:before="20" w:after="20"/>
            </w:pPr>
            <w:r>
              <w:rPr>
                <w:sz w:val="20"/>
              </w:rPr>
              <w:t xml:space="preserve">   5.10 Threshold Anomaly Alert Ingestion &amp; Resolution Workflow</w:t>
            </w:r>
          </w:p>
        </w:tc>
        <w:tc>
          <w:tcPr>
            <w:tcW w:type="dxa" w:w="4680"/>
          </w:tcPr>
          <w:p>
            <w:pPr>
              <w:spacing w:before="20" w:after="20"/>
              <w:jc w:val="right"/>
            </w:pPr>
            <w:r>
              <w:rPr>
                <w:sz w:val="20"/>
              </w:rPr>
              <w:t>31</w:t>
            </w:r>
          </w:p>
        </w:tc>
      </w:tr>
      <w:tr>
        <w:tc>
          <w:tcPr>
            <w:tcW w:type="dxa" w:w="4680"/>
          </w:tcPr>
          <w:p>
            <w:pPr>
              <w:spacing w:before="20" w:after="20"/>
            </w:pPr>
            <w:r>
              <w:rPr>
                <w:sz w:val="20"/>
              </w:rPr>
              <w:t xml:space="preserve">   5.11 Regulatory Audit Reporting &amp; CSV Export Engine</w:t>
            </w:r>
          </w:p>
        </w:tc>
        <w:tc>
          <w:tcPr>
            <w:tcW w:type="dxa" w:w="4680"/>
          </w:tcPr>
          <w:p>
            <w:pPr>
              <w:spacing w:before="20" w:after="20"/>
              <w:jc w:val="right"/>
            </w:pPr>
            <w:r>
              <w:rPr>
                <w:sz w:val="20"/>
              </w:rPr>
              <w:t>32</w:t>
            </w:r>
          </w:p>
        </w:tc>
      </w:tr>
      <w:tr>
        <w:tc>
          <w:tcPr>
            <w:tcW w:type="dxa" w:w="4680"/>
          </w:tcPr>
          <w:p>
            <w:pPr>
              <w:spacing w:before="20" w:after="20"/>
            </w:pPr>
            <w:r>
              <w:rPr>
                <w:sz w:val="20"/>
              </w:rPr>
              <w:t xml:space="preserve">   5.12 Enterprise Public Showcase &amp; Landing Page</w:t>
            </w:r>
          </w:p>
        </w:tc>
        <w:tc>
          <w:tcPr>
            <w:tcW w:type="dxa" w:w="4680"/>
          </w:tcPr>
          <w:p>
            <w:pPr>
              <w:spacing w:before="20" w:after="20"/>
              <w:jc w:val="right"/>
            </w:pPr>
            <w:r>
              <w:rPr>
                <w:sz w:val="20"/>
              </w:rPr>
              <w:t>33</w:t>
            </w:r>
          </w:p>
        </w:tc>
      </w:tr>
      <w:tr>
        <w:tc>
          <w:tcPr>
            <w:tcW w:type="dxa" w:w="4680"/>
          </w:tcPr>
          <w:p>
            <w:pPr>
              <w:spacing w:before="20" w:after="20"/>
            </w:pPr>
            <w:r>
              <w:rPr>
                <w:sz w:val="20"/>
              </w:rPr>
              <w:t xml:space="preserve">   5.13 Complete RESTful API Route Reference</w:t>
            </w:r>
          </w:p>
        </w:tc>
        <w:tc>
          <w:tcPr>
            <w:tcW w:type="dxa" w:w="4680"/>
          </w:tcPr>
          <w:p>
            <w:pPr>
              <w:spacing w:before="20" w:after="20"/>
              <w:jc w:val="right"/>
            </w:pPr>
            <w:r>
              <w:rPr>
                <w:sz w:val="20"/>
              </w:rPr>
              <w:t>34</w:t>
            </w:r>
          </w:p>
        </w:tc>
      </w:tr>
      <w:tr>
        <w:tc>
          <w:tcPr>
            <w:tcW w:type="dxa" w:w="4680"/>
          </w:tcPr>
          <w:p>
            <w:pPr>
              <w:spacing w:before="20" w:after="20"/>
            </w:pPr>
            <w:r>
              <w:rPr>
                <w:b/>
                <w:color w:val="064E3B"/>
                <w:sz w:val="20"/>
              </w:rPr>
              <w:t>Chapter 6: User Interface &amp; Demonstration</w:t>
            </w:r>
          </w:p>
        </w:tc>
        <w:tc>
          <w:tcPr>
            <w:tcW w:type="dxa" w:w="4680"/>
          </w:tcPr>
          <w:p>
            <w:pPr>
              <w:spacing w:before="20" w:after="20"/>
              <w:jc w:val="right"/>
            </w:pPr>
            <w:r>
              <w:rPr>
                <w:b/>
                <w:color w:val="064E3B"/>
                <w:sz w:val="20"/>
              </w:rPr>
              <w:t>36</w:t>
            </w:r>
          </w:p>
        </w:tc>
      </w:tr>
      <w:tr>
        <w:tc>
          <w:tcPr>
            <w:tcW w:type="dxa" w:w="4680"/>
          </w:tcPr>
          <w:p>
            <w:pPr>
              <w:spacing w:before="20" w:after="20"/>
            </w:pPr>
            <w:r>
              <w:rPr>
                <w:sz w:val="20"/>
              </w:rPr>
              <w:t xml:space="preserve">   6.1 Design Philosophy &amp; Component System</w:t>
            </w:r>
          </w:p>
        </w:tc>
        <w:tc>
          <w:tcPr>
            <w:tcW w:type="dxa" w:w="4680"/>
          </w:tcPr>
          <w:p>
            <w:pPr>
              <w:spacing w:before="20" w:after="20"/>
              <w:jc w:val="right"/>
            </w:pPr>
            <w:r>
              <w:rPr>
                <w:sz w:val="20"/>
              </w:rPr>
              <w:t>36</w:t>
            </w:r>
          </w:p>
        </w:tc>
      </w:tr>
      <w:tr>
        <w:tc>
          <w:tcPr>
            <w:tcW w:type="dxa" w:w="4680"/>
          </w:tcPr>
          <w:p>
            <w:pPr>
              <w:spacing w:before="20" w:after="20"/>
            </w:pPr>
            <w:r>
              <w:rPr>
                <w:sz w:val="20"/>
              </w:rPr>
              <w:t xml:space="preserve">   6.2 Public Enterprise Landing Page &amp; Solar Showcase</w:t>
            </w:r>
          </w:p>
        </w:tc>
        <w:tc>
          <w:tcPr>
            <w:tcW w:type="dxa" w:w="4680"/>
          </w:tcPr>
          <w:p>
            <w:pPr>
              <w:spacing w:before="20" w:after="20"/>
              <w:jc w:val="right"/>
            </w:pPr>
            <w:r>
              <w:rPr>
                <w:sz w:val="20"/>
              </w:rPr>
              <w:t>37</w:t>
            </w:r>
          </w:p>
        </w:tc>
      </w:tr>
      <w:tr>
        <w:tc>
          <w:tcPr>
            <w:tcW w:type="dxa" w:w="4680"/>
          </w:tcPr>
          <w:p>
            <w:pPr>
              <w:spacing w:before="20" w:after="20"/>
            </w:pPr>
            <w:r>
              <w:rPr>
                <w:sz w:val="20"/>
              </w:rPr>
              <w:t xml:space="preserve">   6.3 Authentication Portal &amp; Security Controls</w:t>
            </w:r>
          </w:p>
        </w:tc>
        <w:tc>
          <w:tcPr>
            <w:tcW w:type="dxa" w:w="4680"/>
          </w:tcPr>
          <w:p>
            <w:pPr>
              <w:spacing w:before="20" w:after="20"/>
              <w:jc w:val="right"/>
            </w:pPr>
            <w:r>
              <w:rPr>
                <w:sz w:val="20"/>
              </w:rPr>
              <w:t>39</w:t>
            </w:r>
          </w:p>
        </w:tc>
      </w:tr>
      <w:tr>
        <w:tc>
          <w:tcPr>
            <w:tcW w:type="dxa" w:w="4680"/>
          </w:tcPr>
          <w:p>
            <w:pPr>
              <w:spacing w:before="20" w:after="20"/>
            </w:pPr>
            <w:r>
              <w:rPr>
                <w:sz w:val="20"/>
              </w:rPr>
              <w:t xml:space="preserve">   6.4 Executive Energy Operations Dashboard</w:t>
            </w:r>
          </w:p>
        </w:tc>
        <w:tc>
          <w:tcPr>
            <w:tcW w:type="dxa" w:w="4680"/>
          </w:tcPr>
          <w:p>
            <w:pPr>
              <w:spacing w:before="20" w:after="20"/>
              <w:jc w:val="right"/>
            </w:pPr>
            <w:r>
              <w:rPr>
                <w:sz w:val="20"/>
              </w:rPr>
              <w:t>40</w:t>
            </w:r>
          </w:p>
        </w:tc>
      </w:tr>
      <w:tr>
        <w:tc>
          <w:tcPr>
            <w:tcW w:type="dxa" w:w="4680"/>
          </w:tcPr>
          <w:p>
            <w:pPr>
              <w:spacing w:before="20" w:after="20"/>
            </w:pPr>
            <w:r>
              <w:rPr>
                <w:sz w:val="20"/>
              </w:rPr>
              <w:t xml:space="preserve">   6.5 Campus Facilities Infrastructure Management</w:t>
            </w:r>
          </w:p>
        </w:tc>
        <w:tc>
          <w:tcPr>
            <w:tcW w:type="dxa" w:w="4680"/>
          </w:tcPr>
          <w:p>
            <w:pPr>
              <w:spacing w:before="20" w:after="20"/>
              <w:jc w:val="right"/>
            </w:pPr>
            <w:r>
              <w:rPr>
                <w:sz w:val="20"/>
              </w:rPr>
              <w:t>41</w:t>
            </w:r>
          </w:p>
        </w:tc>
      </w:tr>
      <w:tr>
        <w:tc>
          <w:tcPr>
            <w:tcW w:type="dxa" w:w="4680"/>
          </w:tcPr>
          <w:p>
            <w:pPr>
              <w:spacing w:before="20" w:after="20"/>
            </w:pPr>
            <w:r>
              <w:rPr>
                <w:sz w:val="20"/>
              </w:rPr>
              <w:t xml:space="preserve">   6.6 Real-Time Energy Telemetry &amp; Load Monitoring</w:t>
            </w:r>
          </w:p>
        </w:tc>
        <w:tc>
          <w:tcPr>
            <w:tcW w:type="dxa" w:w="4680"/>
          </w:tcPr>
          <w:p>
            <w:pPr>
              <w:spacing w:before="20" w:after="20"/>
              <w:jc w:val="right"/>
            </w:pPr>
            <w:r>
              <w:rPr>
                <w:sz w:val="20"/>
              </w:rPr>
              <w:t>42</w:t>
            </w:r>
          </w:p>
        </w:tc>
      </w:tr>
      <w:tr>
        <w:tc>
          <w:tcPr>
            <w:tcW w:type="dxa" w:w="4680"/>
          </w:tcPr>
          <w:p>
            <w:pPr>
              <w:spacing w:before="20" w:after="20"/>
            </w:pPr>
            <w:r>
              <w:rPr>
                <w:sz w:val="20"/>
              </w:rPr>
              <w:t xml:space="preserve">   6.7 Renewable Solar PV &amp; BESS Dispatch Dashboard</w:t>
            </w:r>
          </w:p>
        </w:tc>
        <w:tc>
          <w:tcPr>
            <w:tcW w:type="dxa" w:w="4680"/>
          </w:tcPr>
          <w:p>
            <w:pPr>
              <w:spacing w:before="20" w:after="20"/>
              <w:jc w:val="right"/>
            </w:pPr>
            <w:r>
              <w:rPr>
                <w:sz w:val="20"/>
              </w:rPr>
              <w:t>43</w:t>
            </w:r>
          </w:p>
        </w:tc>
      </w:tr>
      <w:tr>
        <w:tc>
          <w:tcPr>
            <w:tcW w:type="dxa" w:w="4680"/>
          </w:tcPr>
          <w:p>
            <w:pPr>
              <w:spacing w:before="20" w:after="20"/>
            </w:pPr>
            <w:r>
              <w:rPr>
                <w:sz w:val="20"/>
              </w:rPr>
              <w:t xml:space="preserve">   6.8 HT Commercial Billing &amp; Tariff Invoicing</w:t>
            </w:r>
          </w:p>
        </w:tc>
        <w:tc>
          <w:tcPr>
            <w:tcW w:type="dxa" w:w="4680"/>
          </w:tcPr>
          <w:p>
            <w:pPr>
              <w:spacing w:before="20" w:after="20"/>
              <w:jc w:val="right"/>
            </w:pPr>
            <w:r>
              <w:rPr>
                <w:sz w:val="20"/>
              </w:rPr>
              <w:t>44</w:t>
            </w:r>
          </w:p>
        </w:tc>
      </w:tr>
      <w:tr>
        <w:tc>
          <w:tcPr>
            <w:tcW w:type="dxa" w:w="4680"/>
          </w:tcPr>
          <w:p>
            <w:pPr>
              <w:spacing w:before="20" w:after="20"/>
            </w:pPr>
            <w:r>
              <w:rPr>
                <w:sz w:val="20"/>
              </w:rPr>
              <w:t xml:space="preserve">   6.9 Metrology Analytics &amp; Power Factor Assessment</w:t>
            </w:r>
          </w:p>
        </w:tc>
        <w:tc>
          <w:tcPr>
            <w:tcW w:type="dxa" w:w="4680"/>
          </w:tcPr>
          <w:p>
            <w:pPr>
              <w:spacing w:before="20" w:after="20"/>
              <w:jc w:val="right"/>
            </w:pPr>
            <w:r>
              <w:rPr>
                <w:sz w:val="20"/>
              </w:rPr>
              <w:t>45</w:t>
            </w:r>
          </w:p>
        </w:tc>
      </w:tr>
      <w:tr>
        <w:tc>
          <w:tcPr>
            <w:tcW w:type="dxa" w:w="4680"/>
          </w:tcPr>
          <w:p>
            <w:pPr>
              <w:spacing w:before="20" w:after="20"/>
            </w:pPr>
            <w:r>
              <w:rPr>
                <w:sz w:val="20"/>
              </w:rPr>
              <w:t xml:space="preserve">   6.10 Predictive Demand Forecasting Visualizer</w:t>
            </w:r>
          </w:p>
        </w:tc>
        <w:tc>
          <w:tcPr>
            <w:tcW w:type="dxa" w:w="4680"/>
          </w:tcPr>
          <w:p>
            <w:pPr>
              <w:spacing w:before="20" w:after="20"/>
              <w:jc w:val="right"/>
            </w:pPr>
            <w:r>
              <w:rPr>
                <w:sz w:val="20"/>
              </w:rPr>
              <w:t>46</w:t>
            </w:r>
          </w:p>
        </w:tc>
      </w:tr>
      <w:tr>
        <w:tc>
          <w:tcPr>
            <w:tcW w:type="dxa" w:w="4680"/>
          </w:tcPr>
          <w:p>
            <w:pPr>
              <w:spacing w:before="20" w:after="20"/>
            </w:pPr>
            <w:r>
              <w:rPr>
                <w:sz w:val="20"/>
              </w:rPr>
              <w:t xml:space="preserve">   6.11 Anomaly Alerts &amp; Alarm Resolution Workflow</w:t>
            </w:r>
          </w:p>
        </w:tc>
        <w:tc>
          <w:tcPr>
            <w:tcW w:type="dxa" w:w="4680"/>
          </w:tcPr>
          <w:p>
            <w:pPr>
              <w:spacing w:before="20" w:after="20"/>
              <w:jc w:val="right"/>
            </w:pPr>
            <w:r>
              <w:rPr>
                <w:sz w:val="20"/>
              </w:rPr>
              <w:t>47</w:t>
            </w:r>
          </w:p>
        </w:tc>
      </w:tr>
      <w:tr>
        <w:tc>
          <w:tcPr>
            <w:tcW w:type="dxa" w:w="4680"/>
          </w:tcPr>
          <w:p>
            <w:pPr>
              <w:spacing w:before="20" w:after="20"/>
            </w:pPr>
            <w:r>
              <w:rPr>
                <w:sz w:val="20"/>
              </w:rPr>
              <w:t xml:space="preserve">   6.12 Regulatory Compliance Reporting &amp; CSV Hub</w:t>
            </w:r>
          </w:p>
        </w:tc>
        <w:tc>
          <w:tcPr>
            <w:tcW w:type="dxa" w:w="4680"/>
          </w:tcPr>
          <w:p>
            <w:pPr>
              <w:spacing w:before="20" w:after="20"/>
              <w:jc w:val="right"/>
            </w:pPr>
            <w:r>
              <w:rPr>
                <w:sz w:val="20"/>
              </w:rPr>
              <w:t>48</w:t>
            </w:r>
          </w:p>
        </w:tc>
      </w:tr>
      <w:tr>
        <w:tc>
          <w:tcPr>
            <w:tcW w:type="dxa" w:w="4680"/>
          </w:tcPr>
          <w:p>
            <w:pPr>
              <w:spacing w:before="20" w:after="20"/>
            </w:pPr>
            <w:r>
              <w:rPr>
                <w:sz w:val="20"/>
              </w:rPr>
              <w:t xml:space="preserve">   6.13 Global System Preferences &amp; Tariff Administration</w:t>
            </w:r>
          </w:p>
        </w:tc>
        <w:tc>
          <w:tcPr>
            <w:tcW w:type="dxa" w:w="4680"/>
          </w:tcPr>
          <w:p>
            <w:pPr>
              <w:spacing w:before="20" w:after="20"/>
              <w:jc w:val="right"/>
            </w:pPr>
            <w:r>
              <w:rPr>
                <w:sz w:val="20"/>
              </w:rPr>
              <w:t>49</w:t>
            </w:r>
          </w:p>
        </w:tc>
      </w:tr>
      <w:tr>
        <w:tc>
          <w:tcPr>
            <w:tcW w:type="dxa" w:w="4680"/>
          </w:tcPr>
          <w:p>
            <w:pPr>
              <w:spacing w:before="20" w:after="20"/>
            </w:pPr>
            <w:r>
              <w:rPr>
                <w:b/>
                <w:color w:val="064E3B"/>
                <w:sz w:val="20"/>
              </w:rPr>
              <w:t>Chapter 7: Verification, Testing &amp; Performance Evaluation</w:t>
            </w:r>
          </w:p>
        </w:tc>
        <w:tc>
          <w:tcPr>
            <w:tcW w:type="dxa" w:w="4680"/>
          </w:tcPr>
          <w:p>
            <w:pPr>
              <w:spacing w:before="20" w:after="20"/>
              <w:jc w:val="right"/>
            </w:pPr>
            <w:r>
              <w:rPr>
                <w:b/>
                <w:color w:val="064E3B"/>
                <w:sz w:val="20"/>
              </w:rPr>
              <w:t>50</w:t>
            </w:r>
          </w:p>
        </w:tc>
      </w:tr>
      <w:tr>
        <w:tc>
          <w:tcPr>
            <w:tcW w:type="dxa" w:w="4680"/>
          </w:tcPr>
          <w:p>
            <w:pPr>
              <w:spacing w:before="20" w:after="20"/>
            </w:pPr>
            <w:r>
              <w:rPr>
                <w:sz w:val="20"/>
              </w:rPr>
              <w:t xml:space="preserve">   7.1 Quality Assurance Strategy</w:t>
            </w:r>
          </w:p>
        </w:tc>
        <w:tc>
          <w:tcPr>
            <w:tcW w:type="dxa" w:w="4680"/>
          </w:tcPr>
          <w:p>
            <w:pPr>
              <w:spacing w:before="20" w:after="20"/>
              <w:jc w:val="right"/>
            </w:pPr>
            <w:r>
              <w:rPr>
                <w:sz w:val="20"/>
              </w:rPr>
              <w:t>50</w:t>
            </w:r>
          </w:p>
        </w:tc>
      </w:tr>
      <w:tr>
        <w:tc>
          <w:tcPr>
            <w:tcW w:type="dxa" w:w="4680"/>
          </w:tcPr>
          <w:p>
            <w:pPr>
              <w:spacing w:before="20" w:after="20"/>
            </w:pPr>
            <w:r>
              <w:rPr>
                <w:sz w:val="20"/>
              </w:rPr>
              <w:t xml:space="preserve">   7.2 Backend Unit &amp; API Integration Testing</w:t>
            </w:r>
          </w:p>
        </w:tc>
        <w:tc>
          <w:tcPr>
            <w:tcW w:type="dxa" w:w="4680"/>
          </w:tcPr>
          <w:p>
            <w:pPr>
              <w:spacing w:before="20" w:after="20"/>
              <w:jc w:val="right"/>
            </w:pPr>
            <w:r>
              <w:rPr>
                <w:sz w:val="20"/>
              </w:rPr>
              <w:t>50</w:t>
            </w:r>
          </w:p>
        </w:tc>
      </w:tr>
      <w:tr>
        <w:tc>
          <w:tcPr>
            <w:tcW w:type="dxa" w:w="4680"/>
          </w:tcPr>
          <w:p>
            <w:pPr>
              <w:spacing w:before="20" w:after="20"/>
            </w:pPr>
            <w:r>
              <w:rPr>
                <w:sz w:val="20"/>
              </w:rPr>
              <w:t xml:space="preserve">   7.3 Frontend Asynchronous Non-Blocking Verification</w:t>
            </w:r>
          </w:p>
        </w:tc>
        <w:tc>
          <w:tcPr>
            <w:tcW w:type="dxa" w:w="4680"/>
          </w:tcPr>
          <w:p>
            <w:pPr>
              <w:spacing w:before="20" w:after="20"/>
              <w:jc w:val="right"/>
            </w:pPr>
            <w:r>
              <w:rPr>
                <w:sz w:val="20"/>
              </w:rPr>
              <w:t>51</w:t>
            </w:r>
          </w:p>
        </w:tc>
      </w:tr>
      <w:tr>
        <w:tc>
          <w:tcPr>
            <w:tcW w:type="dxa" w:w="4680"/>
          </w:tcPr>
          <w:p>
            <w:pPr>
              <w:spacing w:before="20" w:after="20"/>
            </w:pPr>
            <w:r>
              <w:rPr>
                <w:sz w:val="20"/>
              </w:rPr>
              <w:t xml:space="preserve">   7.4 Comprehensive Test Case Execution Matrix</w:t>
            </w:r>
          </w:p>
        </w:tc>
        <w:tc>
          <w:tcPr>
            <w:tcW w:type="dxa" w:w="4680"/>
          </w:tcPr>
          <w:p>
            <w:pPr>
              <w:spacing w:before="20" w:after="20"/>
              <w:jc w:val="right"/>
            </w:pPr>
            <w:r>
              <w:rPr>
                <w:sz w:val="20"/>
              </w:rPr>
              <w:t>52</w:t>
            </w:r>
          </w:p>
        </w:tc>
      </w:tr>
      <w:tr>
        <w:tc>
          <w:tcPr>
            <w:tcW w:type="dxa" w:w="4680"/>
          </w:tcPr>
          <w:p>
            <w:pPr>
              <w:spacing w:before="20" w:after="20"/>
            </w:pPr>
            <w:r>
              <w:rPr>
                <w:sz w:val="20"/>
              </w:rPr>
              <w:t xml:space="preserve">   7.5 Performance Benchmarking &amp; Query Optimization</w:t>
            </w:r>
          </w:p>
        </w:tc>
        <w:tc>
          <w:tcPr>
            <w:tcW w:type="dxa" w:w="4680"/>
          </w:tcPr>
          <w:p>
            <w:pPr>
              <w:spacing w:before="20" w:after="20"/>
              <w:jc w:val="right"/>
            </w:pPr>
            <w:r>
              <w:rPr>
                <w:sz w:val="20"/>
              </w:rPr>
              <w:t>54</w:t>
            </w:r>
          </w:p>
        </w:tc>
      </w:tr>
      <w:tr>
        <w:tc>
          <w:tcPr>
            <w:tcW w:type="dxa" w:w="4680"/>
          </w:tcPr>
          <w:p>
            <w:pPr>
              <w:spacing w:before="20" w:after="20"/>
            </w:pPr>
            <w:r>
              <w:rPr>
                <w:b/>
                <w:color w:val="064E3B"/>
                <w:sz w:val="20"/>
              </w:rPr>
              <w:t>Chapter 8: Limitations &amp; Future Scope</w:t>
            </w:r>
          </w:p>
        </w:tc>
        <w:tc>
          <w:tcPr>
            <w:tcW w:type="dxa" w:w="4680"/>
          </w:tcPr>
          <w:p>
            <w:pPr>
              <w:spacing w:before="20" w:after="20"/>
              <w:jc w:val="right"/>
            </w:pPr>
            <w:r>
              <w:rPr>
                <w:b/>
                <w:color w:val="064E3B"/>
                <w:sz w:val="20"/>
              </w:rPr>
              <w:t>56</w:t>
            </w:r>
          </w:p>
        </w:tc>
      </w:tr>
      <w:tr>
        <w:tc>
          <w:tcPr>
            <w:tcW w:type="dxa" w:w="4680"/>
          </w:tcPr>
          <w:p>
            <w:pPr>
              <w:spacing w:before="20" w:after="20"/>
            </w:pPr>
            <w:r>
              <w:rPr>
                <w:sz w:val="20"/>
              </w:rPr>
              <w:t xml:space="preserve">   8.1 Current Technical Limitations</w:t>
            </w:r>
          </w:p>
        </w:tc>
        <w:tc>
          <w:tcPr>
            <w:tcW w:type="dxa" w:w="4680"/>
          </w:tcPr>
          <w:p>
            <w:pPr>
              <w:spacing w:before="20" w:after="20"/>
              <w:jc w:val="right"/>
            </w:pPr>
            <w:r>
              <w:rPr>
                <w:sz w:val="20"/>
              </w:rPr>
              <w:t>56</w:t>
            </w:r>
          </w:p>
        </w:tc>
      </w:tr>
      <w:tr>
        <w:tc>
          <w:tcPr>
            <w:tcW w:type="dxa" w:w="4680"/>
          </w:tcPr>
          <w:p>
            <w:pPr>
              <w:spacing w:before="20" w:after="20"/>
            </w:pPr>
            <w:r>
              <w:rPr>
                <w:sz w:val="20"/>
              </w:rPr>
              <w:t xml:space="preserve">   8.2 Future Scope &amp; Architectural Enhancements</w:t>
            </w:r>
          </w:p>
        </w:tc>
        <w:tc>
          <w:tcPr>
            <w:tcW w:type="dxa" w:w="4680"/>
          </w:tcPr>
          <w:p>
            <w:pPr>
              <w:spacing w:before="20" w:after="20"/>
              <w:jc w:val="right"/>
            </w:pPr>
            <w:r>
              <w:rPr>
                <w:sz w:val="20"/>
              </w:rPr>
              <w:t>57</w:t>
            </w:r>
          </w:p>
        </w:tc>
      </w:tr>
      <w:tr>
        <w:tc>
          <w:tcPr>
            <w:tcW w:type="dxa" w:w="4680"/>
          </w:tcPr>
          <w:p>
            <w:pPr>
              <w:spacing w:before="20" w:after="20"/>
            </w:pPr>
            <w:r>
              <w:rPr>
                <w:b/>
                <w:color w:val="064E3B"/>
                <w:sz w:val="20"/>
              </w:rPr>
              <w:t>Chapter 9: Conclusion &amp; Summary</w:t>
            </w:r>
          </w:p>
        </w:tc>
        <w:tc>
          <w:tcPr>
            <w:tcW w:type="dxa" w:w="4680"/>
          </w:tcPr>
          <w:p>
            <w:pPr>
              <w:spacing w:before="20" w:after="20"/>
              <w:jc w:val="right"/>
            </w:pPr>
            <w:r>
              <w:rPr>
                <w:b/>
                <w:color w:val="064E3B"/>
                <w:sz w:val="20"/>
              </w:rPr>
              <w:t>59</w:t>
            </w:r>
          </w:p>
        </w:tc>
      </w:tr>
      <w:tr>
        <w:tc>
          <w:tcPr>
            <w:tcW w:type="dxa" w:w="4680"/>
          </w:tcPr>
          <w:p>
            <w:pPr>
              <w:spacing w:before="20" w:after="20"/>
            </w:pPr>
            <w:r>
              <w:rPr>
                <w:sz w:val="20"/>
              </w:rPr>
              <w:t xml:space="preserve">   9.1 Summary of Project Achievements</w:t>
            </w:r>
          </w:p>
        </w:tc>
        <w:tc>
          <w:tcPr>
            <w:tcW w:type="dxa" w:w="4680"/>
          </w:tcPr>
          <w:p>
            <w:pPr>
              <w:spacing w:before="20" w:after="20"/>
              <w:jc w:val="right"/>
            </w:pPr>
            <w:r>
              <w:rPr>
                <w:sz w:val="20"/>
              </w:rPr>
              <w:t>59</w:t>
            </w:r>
          </w:p>
        </w:tc>
      </w:tr>
      <w:tr>
        <w:tc>
          <w:tcPr>
            <w:tcW w:type="dxa" w:w="4680"/>
          </w:tcPr>
          <w:p>
            <w:pPr>
              <w:spacing w:before="20" w:after="20"/>
            </w:pPr>
            <w:r>
              <w:rPr>
                <w:sz w:val="20"/>
              </w:rPr>
              <w:t xml:space="preserve">   9.2 Alignment with UN Sustainable Development Goals</w:t>
            </w:r>
          </w:p>
        </w:tc>
        <w:tc>
          <w:tcPr>
            <w:tcW w:type="dxa" w:w="4680"/>
          </w:tcPr>
          <w:p>
            <w:pPr>
              <w:spacing w:before="20" w:after="20"/>
              <w:jc w:val="right"/>
            </w:pPr>
            <w:r>
              <w:rPr>
                <w:sz w:val="20"/>
              </w:rPr>
              <w:t>60</w:t>
            </w:r>
          </w:p>
        </w:tc>
      </w:tr>
      <w:tr>
        <w:tc>
          <w:tcPr>
            <w:tcW w:type="dxa" w:w="4680"/>
          </w:tcPr>
          <w:p>
            <w:pPr>
              <w:spacing w:before="20" w:after="20"/>
            </w:pPr>
            <w:r>
              <w:rPr>
                <w:sz w:val="20"/>
              </w:rPr>
              <w:t xml:space="preserve">   9.3 Final Concluding Remarks</w:t>
            </w:r>
          </w:p>
        </w:tc>
        <w:tc>
          <w:tcPr>
            <w:tcW w:type="dxa" w:w="4680"/>
          </w:tcPr>
          <w:p>
            <w:pPr>
              <w:spacing w:before="20" w:after="20"/>
              <w:jc w:val="right"/>
            </w:pPr>
            <w:r>
              <w:rPr>
                <w:sz w:val="20"/>
              </w:rPr>
              <w:t>61</w:t>
            </w:r>
          </w:p>
        </w:tc>
      </w:tr>
      <w:tr>
        <w:tc>
          <w:tcPr>
            <w:tcW w:type="dxa" w:w="4680"/>
          </w:tcPr>
          <w:p>
            <w:pPr>
              <w:spacing w:before="20" w:after="20"/>
            </w:pPr>
            <w:r>
              <w:rPr>
                <w:b/>
                <w:color w:val="064E3B"/>
                <w:sz w:val="20"/>
              </w:rPr>
              <w:t>References</w:t>
            </w:r>
          </w:p>
        </w:tc>
        <w:tc>
          <w:tcPr>
            <w:tcW w:type="dxa" w:w="4680"/>
          </w:tcPr>
          <w:p>
            <w:pPr>
              <w:spacing w:before="20" w:after="20"/>
              <w:jc w:val="right"/>
            </w:pPr>
            <w:r>
              <w:rPr>
                <w:b/>
                <w:color w:val="064E3B"/>
                <w:sz w:val="20"/>
              </w:rPr>
              <w:t>62</w:t>
            </w:r>
          </w:p>
        </w:tc>
      </w:tr>
    </w:tbl>
    <w:p>
      <w:r>
        <w:br w:type="page"/>
      </w:r>
    </w:p>
    <w:p>
      <w:pPr>
        <w:keepNext/>
        <w:spacing w:before="360" w:after="160"/>
      </w:pPr>
      <w:r>
        <w:rPr>
          <w:rFonts w:ascii="Calibri" w:hAnsi="Calibri"/>
          <w:b/>
          <w:color w:val="064E3B"/>
          <w:sz w:val="34"/>
        </w:rPr>
        <w:t>LIST OF FIGURES</w:t>
      </w:r>
    </w:p>
    <w:p>
      <w:pPr>
        <w:spacing w:before="40" w:after="40"/>
      </w:pPr>
      <w:r>
        <w:rPr>
          <w:b/>
          <w:color w:val="0D9488"/>
        </w:rPr>
        <w:t xml:space="preserve">Figure 4.1: </w:t>
      </w:r>
      <w:r>
        <w:t>GreenGrid Decoupled Three-Tier System Architecture</w:t>
      </w:r>
      <w:r>
        <w:rPr>
          <w:color w:val="64748B"/>
        </w:rPr>
        <w:t xml:space="preserve"> ............... </w:t>
      </w:r>
      <w:r>
        <w:rPr>
          <w:b/>
        </w:rPr>
        <w:t>16</w:t>
      </w:r>
    </w:p>
    <w:p>
      <w:pPr>
        <w:spacing w:before="40" w:after="40"/>
      </w:pPr>
      <w:r>
        <w:rPr>
          <w:b/>
          <w:color w:val="0D9488"/>
        </w:rPr>
        <w:t xml:space="preserve">Figure 4.2: </w:t>
      </w:r>
      <w:r>
        <w:t>Entity-Relationship (ER) Relational Data Model Schema</w:t>
      </w:r>
      <w:r>
        <w:rPr>
          <w:color w:val="64748B"/>
        </w:rPr>
        <w:t xml:space="preserve"> ............ </w:t>
      </w:r>
      <w:r>
        <w:rPr>
          <w:b/>
        </w:rPr>
        <w:t>19</w:t>
      </w:r>
    </w:p>
    <w:p>
      <w:pPr>
        <w:spacing w:before="40" w:after="40"/>
      </w:pPr>
      <w:r>
        <w:rPr>
          <w:b/>
          <w:color w:val="0D9488"/>
        </w:rPr>
        <w:t xml:space="preserve">Figure 4.3: </w:t>
      </w:r>
      <w:r>
        <w:t>Data Flow Diagram: Level 0 Context Diagram</w:t>
      </w:r>
      <w:r>
        <w:rPr>
          <w:color w:val="64748B"/>
        </w:rPr>
        <w:t xml:space="preserve"> ....................... </w:t>
      </w:r>
      <w:r>
        <w:rPr>
          <w:b/>
        </w:rPr>
        <w:t>21</w:t>
      </w:r>
    </w:p>
    <w:p>
      <w:pPr>
        <w:spacing w:before="40" w:after="40"/>
      </w:pPr>
      <w:r>
        <w:rPr>
          <w:b/>
          <w:color w:val="0D9488"/>
        </w:rPr>
        <w:t xml:space="preserve">Figure 4.4: </w:t>
      </w:r>
      <w:r>
        <w:t>Data Flow Diagram: Level 1 Functional Decomposition</w:t>
      </w:r>
      <w:r>
        <w:rPr>
          <w:color w:val="64748B"/>
        </w:rPr>
        <w:t xml:space="preserve"> .............. </w:t>
      </w:r>
      <w:r>
        <w:rPr>
          <w:b/>
        </w:rPr>
        <w:t>21</w:t>
      </w:r>
    </w:p>
    <w:p>
      <w:pPr>
        <w:spacing w:before="40" w:after="40"/>
      </w:pPr>
      <w:r>
        <w:rPr>
          <w:b/>
          <w:color w:val="0D9488"/>
        </w:rPr>
        <w:t xml:space="preserve">Figure 6.1: </w:t>
      </w:r>
      <w:r>
        <w:t>Public Enterprise Landing Page Hero &amp; Telemetry Teaser</w:t>
      </w:r>
      <w:r>
        <w:rPr>
          <w:color w:val="64748B"/>
        </w:rPr>
        <w:t xml:space="preserve"> ........... </w:t>
      </w:r>
      <w:r>
        <w:rPr>
          <w:b/>
        </w:rPr>
        <w:t>38</w:t>
      </w:r>
    </w:p>
    <w:p>
      <w:pPr>
        <w:spacing w:before="40" w:after="40"/>
      </w:pPr>
      <w:r>
        <w:rPr>
          <w:b/>
          <w:color w:val="0D9488"/>
        </w:rPr>
        <w:t xml:space="preserve">Figure 6.2: </w:t>
      </w:r>
      <w:r>
        <w:t>Campus Rooftop Solar Photovoltaic Infrastructure</w:t>
      </w:r>
      <w:r>
        <w:rPr>
          <w:color w:val="64748B"/>
        </w:rPr>
        <w:t xml:space="preserve"> ................. </w:t>
      </w:r>
      <w:r>
        <w:rPr>
          <w:b/>
        </w:rPr>
        <w:t>38</w:t>
      </w:r>
    </w:p>
    <w:p>
      <w:pPr>
        <w:spacing w:before="40" w:after="40"/>
      </w:pPr>
      <w:r>
        <w:rPr>
          <w:b/>
          <w:color w:val="0D9488"/>
        </w:rPr>
        <w:t xml:space="preserve">Figure 6.3: </w:t>
      </w:r>
      <w:r>
        <w:t>JWT-Secured User Authentication Portal</w:t>
      </w:r>
      <w:r>
        <w:rPr>
          <w:color w:val="64748B"/>
        </w:rPr>
        <w:t xml:space="preserve"> ........................... </w:t>
      </w:r>
      <w:r>
        <w:rPr>
          <w:b/>
        </w:rPr>
        <w:t>39</w:t>
      </w:r>
    </w:p>
    <w:p>
      <w:pPr>
        <w:spacing w:before="40" w:after="40"/>
      </w:pPr>
      <w:r>
        <w:rPr>
          <w:b/>
          <w:color w:val="0D9488"/>
        </w:rPr>
        <w:t xml:space="preserve">Figure 6.4: </w:t>
      </w:r>
      <w:r>
        <w:t>Executive Energy Operations Dashboard with Live KPI Cards</w:t>
      </w:r>
      <w:r>
        <w:rPr>
          <w:color w:val="64748B"/>
        </w:rPr>
        <w:t xml:space="preserve"> .......... </w:t>
      </w:r>
      <w:r>
        <w:rPr>
          <w:b/>
        </w:rPr>
        <w:t>40</w:t>
      </w:r>
    </w:p>
    <w:p>
      <w:pPr>
        <w:spacing w:before="40" w:after="40"/>
      </w:pPr>
      <w:r>
        <w:rPr>
          <w:b/>
          <w:color w:val="0D9488"/>
        </w:rPr>
        <w:t xml:space="preserve">Figure 6.5: </w:t>
      </w:r>
      <w:r>
        <w:t>Multi-Facility Infrastructure Registry and Area Breakdown</w:t>
      </w:r>
      <w:r>
        <w:rPr>
          <w:color w:val="64748B"/>
        </w:rPr>
        <w:t xml:space="preserve"> .......... </w:t>
      </w:r>
      <w:r>
        <w:rPr>
          <w:b/>
        </w:rPr>
        <w:t>41</w:t>
      </w:r>
    </w:p>
    <w:p>
      <w:pPr>
        <w:spacing w:before="40" w:after="40"/>
      </w:pPr>
      <w:r>
        <w:rPr>
          <w:b/>
          <w:color w:val="0D9488"/>
        </w:rPr>
        <w:t xml:space="preserve">Figure 6.6: </w:t>
      </w:r>
      <w:r>
        <w:t>Real-Time Telemetry &amp; Electrical Demand Metrology View</w:t>
      </w:r>
      <w:r>
        <w:rPr>
          <w:color w:val="64748B"/>
        </w:rPr>
        <w:t xml:space="preserve"> ........... </w:t>
      </w:r>
      <w:r>
        <w:rPr>
          <w:b/>
        </w:rPr>
        <w:t>42</w:t>
      </w:r>
    </w:p>
    <w:p>
      <w:pPr>
        <w:spacing w:before="40" w:after="40"/>
      </w:pPr>
      <w:r>
        <w:rPr>
          <w:b/>
          <w:color w:val="0D9488"/>
        </w:rPr>
        <w:t xml:space="preserve">Figure 6.7: </w:t>
      </w:r>
      <w:r>
        <w:t>Renewable Solar PV &amp; BESS Energy Storage Dashboard</w:t>
      </w:r>
      <w:r>
        <w:rPr>
          <w:color w:val="64748B"/>
        </w:rPr>
        <w:t xml:space="preserve"> ............... </w:t>
      </w:r>
      <w:r>
        <w:rPr>
          <w:b/>
        </w:rPr>
        <w:t>43</w:t>
      </w:r>
    </w:p>
    <w:p>
      <w:pPr>
        <w:spacing w:before="40" w:after="40"/>
      </w:pPr>
      <w:r>
        <w:rPr>
          <w:b/>
          <w:color w:val="0D9488"/>
        </w:rPr>
        <w:t xml:space="preserve">Figure 6.8: </w:t>
      </w:r>
      <w:r>
        <w:t>HT Commercial Multi-Tier Billing &amp; Invoicing Ledger</w:t>
      </w:r>
      <w:r>
        <w:rPr>
          <w:color w:val="64748B"/>
        </w:rPr>
        <w:t xml:space="preserve"> .............. </w:t>
      </w:r>
      <w:r>
        <w:rPr>
          <w:b/>
        </w:rPr>
        <w:t>44</w:t>
      </w:r>
    </w:p>
    <w:p>
      <w:pPr>
        <w:spacing w:before="40" w:after="40"/>
      </w:pPr>
      <w:r>
        <w:rPr>
          <w:b/>
          <w:color w:val="0D9488"/>
        </w:rPr>
        <w:t xml:space="preserve">Figure 6.9: </w:t>
      </w:r>
      <w:r>
        <w:t>Advanced Metrology &amp; Power Factor / Harmonic Analytics</w:t>
      </w:r>
      <w:r>
        <w:rPr>
          <w:color w:val="64748B"/>
        </w:rPr>
        <w:t xml:space="preserve"> ........... </w:t>
      </w:r>
      <w:r>
        <w:rPr>
          <w:b/>
        </w:rPr>
        <w:t>45</w:t>
      </w:r>
    </w:p>
    <w:p>
      <w:pPr>
        <w:spacing w:before="40" w:after="40"/>
      </w:pPr>
      <w:r>
        <w:rPr>
          <w:b/>
          <w:color w:val="0D9488"/>
        </w:rPr>
        <w:t xml:space="preserve">Figure 6.10: </w:t>
      </w:r>
      <w:r>
        <w:t>Predictive Demand Load Forecasting Horizons (1-14 Days)</w:t>
      </w:r>
      <w:r>
        <w:rPr>
          <w:color w:val="64748B"/>
        </w:rPr>
        <w:t xml:space="preserve"> .......... </w:t>
      </w:r>
      <w:r>
        <w:rPr>
          <w:b/>
        </w:rPr>
        <w:t>46</w:t>
      </w:r>
    </w:p>
    <w:p>
      <w:pPr>
        <w:spacing w:before="40" w:after="40"/>
      </w:pPr>
      <w:r>
        <w:rPr>
          <w:b/>
          <w:color w:val="0D9488"/>
        </w:rPr>
        <w:t xml:space="preserve">Figure 6.11: </w:t>
      </w:r>
      <w:r>
        <w:t>Active Anomaly Alarms &amp; Incident Resolution Interface</w:t>
      </w:r>
      <w:r>
        <w:rPr>
          <w:color w:val="64748B"/>
        </w:rPr>
        <w:t xml:space="preserve"> ........... </w:t>
      </w:r>
      <w:r>
        <w:rPr>
          <w:b/>
        </w:rPr>
        <w:t>47</w:t>
      </w:r>
    </w:p>
    <w:p>
      <w:pPr>
        <w:spacing w:before="40" w:after="40"/>
      </w:pPr>
      <w:r>
        <w:rPr>
          <w:b/>
          <w:color w:val="0D9488"/>
        </w:rPr>
        <w:t xml:space="preserve">Figure 6.12: </w:t>
      </w:r>
      <w:r>
        <w:t>Regulatory Compliance Reporting &amp; Dynamic CSV Export Hub</w:t>
      </w:r>
      <w:r>
        <w:rPr>
          <w:color w:val="64748B"/>
        </w:rPr>
        <w:t xml:space="preserve"> .......... </w:t>
      </w:r>
      <w:r>
        <w:rPr>
          <w:b/>
        </w:rPr>
        <w:t>48</w:t>
      </w:r>
    </w:p>
    <w:p>
      <w:pPr>
        <w:spacing w:before="40" w:after="40"/>
      </w:pPr>
      <w:r>
        <w:rPr>
          <w:b/>
          <w:color w:val="0D9488"/>
        </w:rPr>
        <w:t xml:space="preserve">Figure 6.13: </w:t>
      </w:r>
      <w:r>
        <w:t>Global System Configuration &amp; Tariff Administration Panel</w:t>
      </w:r>
      <w:r>
        <w:rPr>
          <w:color w:val="64748B"/>
        </w:rPr>
        <w:t xml:space="preserve"> .......... </w:t>
      </w:r>
      <w:r>
        <w:rPr>
          <w:b/>
        </w:rPr>
        <w:t>49</w:t>
      </w:r>
    </w:p>
    <w:p>
      <w:pPr>
        <w:spacing w:before="280"/>
      </w:pPr>
    </w:p>
    <w:p>
      <w:pPr>
        <w:keepNext/>
        <w:spacing w:before="360" w:after="160"/>
      </w:pPr>
      <w:r>
        <w:rPr>
          <w:rFonts w:ascii="Calibri" w:hAnsi="Calibri"/>
          <w:b/>
          <w:color w:val="064E3B"/>
          <w:sz w:val="34"/>
        </w:rPr>
        <w:t>LIST OF TABLES</w:t>
      </w:r>
    </w:p>
    <w:p>
      <w:pPr>
        <w:spacing w:before="40" w:after="40"/>
      </w:pPr>
      <w:r>
        <w:rPr>
          <w:b/>
          <w:color w:val="064E3B"/>
        </w:rPr>
        <w:t xml:space="preserve">Table 2.1: </w:t>
      </w:r>
      <w:r>
        <w:t>Comparative Evaluation: Traditional BEMS vs. Generic IoT vs. GreenGrid</w:t>
      </w:r>
      <w:r>
        <w:rPr>
          <w:color w:val="64748B"/>
        </w:rPr>
        <w:t xml:space="preserve"> .......... </w:t>
      </w:r>
      <w:r>
        <w:rPr>
          <w:b/>
        </w:rPr>
        <w:t>8</w:t>
      </w:r>
    </w:p>
    <w:p>
      <w:pPr>
        <w:spacing w:before="40" w:after="40"/>
      </w:pPr>
      <w:r>
        <w:rPr>
          <w:b/>
          <w:color w:val="064E3B"/>
        </w:rPr>
        <w:t xml:space="preserve">Table 3.1: </w:t>
      </w:r>
      <w:r>
        <w:t>Development &amp; Server Hardware Environment Specifications</w:t>
      </w:r>
      <w:r>
        <w:rPr>
          <w:color w:val="64748B"/>
        </w:rPr>
        <w:t xml:space="preserve"> .......... </w:t>
      </w:r>
      <w:r>
        <w:rPr>
          <w:b/>
        </w:rPr>
        <w:t>13</w:t>
      </w:r>
    </w:p>
    <w:p>
      <w:pPr>
        <w:spacing w:before="40" w:after="40"/>
      </w:pPr>
      <w:r>
        <w:rPr>
          <w:b/>
          <w:color w:val="064E3B"/>
        </w:rPr>
        <w:t xml:space="preserve">Table 3.2: </w:t>
      </w:r>
      <w:r>
        <w:t>System Software Toolchain, Frameworks, and Versions</w:t>
      </w:r>
      <w:r>
        <w:rPr>
          <w:color w:val="64748B"/>
        </w:rPr>
        <w:t xml:space="preserve"> ............... </w:t>
      </w:r>
      <w:r>
        <w:rPr>
          <w:b/>
        </w:rPr>
        <w:t>14</w:t>
      </w:r>
    </w:p>
    <w:p>
      <w:pPr>
        <w:spacing w:before="40" w:after="40"/>
      </w:pPr>
      <w:r>
        <w:rPr>
          <w:b/>
          <w:color w:val="064E3B"/>
        </w:rPr>
        <w:t xml:space="preserve">Table 4.1: </w:t>
      </w:r>
      <w:r>
        <w:t>GreenGrid Relational Database Schema Model Inventory</w:t>
      </w:r>
      <w:r>
        <w:rPr>
          <w:color w:val="64748B"/>
        </w:rPr>
        <w:t xml:space="preserve"> .............. </w:t>
      </w:r>
      <w:r>
        <w:rPr>
          <w:b/>
        </w:rPr>
        <w:t>18</w:t>
      </w:r>
    </w:p>
    <w:p>
      <w:pPr>
        <w:spacing w:before="40" w:after="40"/>
      </w:pPr>
      <w:r>
        <w:rPr>
          <w:b/>
          <w:color w:val="064E3B"/>
        </w:rPr>
        <w:t xml:space="preserve">Table 5.1: </w:t>
      </w:r>
      <w:r>
        <w:t>Complete GreenGrid RESTful API Route &amp; Endpoint Specification</w:t>
      </w:r>
      <w:r>
        <w:rPr>
          <w:color w:val="64748B"/>
        </w:rPr>
        <w:t xml:space="preserve"> .......... </w:t>
      </w:r>
      <w:r>
        <w:rPr>
          <w:b/>
        </w:rPr>
        <w:t>34</w:t>
      </w:r>
    </w:p>
    <w:p>
      <w:pPr>
        <w:spacing w:before="40" w:after="40"/>
      </w:pPr>
      <w:r>
        <w:rPr>
          <w:b/>
          <w:color w:val="064E3B"/>
        </w:rPr>
        <w:t xml:space="preserve">Table 7.1: </w:t>
      </w:r>
      <w:r>
        <w:t>System Verification &amp; Test Execution Results Matrix</w:t>
      </w:r>
      <w:r>
        <w:rPr>
          <w:color w:val="64748B"/>
        </w:rPr>
        <w:t xml:space="preserve"> ............... </w:t>
      </w:r>
      <w:r>
        <w:rPr>
          <w:b/>
        </w:rPr>
        <w:t>52</w:t>
      </w:r>
    </w:p>
    <w:p>
      <w:pPr>
        <w:spacing w:before="40" w:after="40"/>
      </w:pPr>
      <w:r>
        <w:rPr>
          <w:b/>
          <w:color w:val="064E3B"/>
        </w:rPr>
        <w:t xml:space="preserve">Table 7.2: </w:t>
      </w:r>
      <w:r>
        <w:t>API Endpoint Latency &amp; Performance Benchmarks</w:t>
      </w:r>
      <w:r>
        <w:rPr>
          <w:color w:val="64748B"/>
        </w:rPr>
        <w:t xml:space="preserve"> ..................... </w:t>
      </w:r>
      <w:r>
        <w:rPr>
          <w:b/>
        </w:rPr>
        <w:t>55</w:t>
      </w:r>
    </w:p>
    <w:p>
      <w:r>
        <w:br w:type="page"/>
      </w:r>
    </w:p>
    <w:p>
      <w:pPr>
        <w:keepNext/>
        <w:spacing w:before="360" w:after="160"/>
      </w:pPr>
      <w:r>
        <w:rPr>
          <w:rFonts w:ascii="Calibri" w:hAnsi="Calibri"/>
          <w:b/>
          <w:color w:val="064E3B"/>
          <w:sz w:val="34"/>
        </w:rPr>
        <w:t>CHAPTER 1: INTRODUCTION</w:t>
      </w:r>
    </w:p>
    <w:p>
      <w:pPr>
        <w:keepNext/>
        <w:spacing w:before="280" w:after="120"/>
      </w:pPr>
      <w:r>
        <w:rPr>
          <w:rFonts w:ascii="Calibri" w:hAnsi="Calibri"/>
          <w:b/>
          <w:color w:val="0D9488"/>
          <w:sz w:val="27"/>
        </w:rPr>
        <w:t>1.1 Background &amp; Motivation</w:t>
      </w:r>
    </w:p>
    <w:p>
      <w:r>
        <w:t>Energy efficiency, real-time power visibility, and distributed renewable integration have emerged as paramount priorities for commercial campuses, university estates, and industrial facilities globally. Modern facilities consume massive amounts of electrical power to support complex infrastructure—such as server rooms, research laboratories, centralized HVAC chillers, and continuous indoor lighting networks. However, the management of these electrical loads remains predominantly archaic, relying on monthly aggregate utility bills and manual meter inspections.</w:t>
      </w:r>
    </w:p>
    <w:p>
      <w:r>
        <w:t>Simultaneously, the global power generation paradigm is experiencing a fundamental transition toward Distributed Energy Resources (DER). Enterprise organizations are aggressively installing on-site rooftop Solar Photovoltaic (PV) arrays and Battery Energy Storage Systems (BESS). While these decentralized assets provide unprecedented opportunities for peak shaving and carbon mitigation, they introduce severe operational complexities. Uncoordinated solar generation causes erratic voltage fluctuations, while mismanaged battery charging cycles accelerate cell degradation. Without a unified, synchronized energy management platform, organizations cannot monitor whether their renewable investments yield their anticipated financial and environmental ROI.</w:t>
      </w:r>
    </w:p>
    <w:p>
      <w:r>
        <w:t>Furthermore, electrical power quality issues—such as reactive power demand (kVAR), poor Power Factor (PF &lt; 0.90), and harmonic distortion generated by nonlinear electrical equipment—lead to heavy utility surcharge penalties. A modern Smart Energy Management System (SEMS) must therefore extend beyond crude kWh counting to deliver microsecond-level metrological rigor, predictive intelligence, and automated commercial billing.</w:t>
      </w:r>
    </w:p>
    <w:p>
      <w:pPr>
        <w:keepNext/>
        <w:spacing w:before="280" w:after="120"/>
      </w:pPr>
      <w:r>
        <w:rPr>
          <w:rFonts w:ascii="Calibri" w:hAnsi="Calibri"/>
          <w:b/>
          <w:color w:val="0D9488"/>
          <w:sz w:val="27"/>
        </w:rPr>
        <w:t>1.2 Problem Statement</w:t>
      </w:r>
    </w:p>
    <w:p>
      <w:r>
        <w:t>Existing facility energy tracking infrastructures suffer from several critical shortcomings:</w:t>
      </w:r>
    </w:p>
    <w:p>
      <w:r>
        <w:t>1. Siloed and Hardware-Locked Monitoring: Traditional Building Energy Management Systems (BEMS) are tied to expensive proprietary vendor controllers (e.g., Honeywell, Johnson Controls) with closed communication protocols. They prevent interoperability, lack open REST APIs, and require high upfront licensing capital.</w:t>
      </w:r>
    </w:p>
    <w:p>
      <w:r>
        <w:t>2. Absence of Granular Metrological Visibility: Most utility meters only measure active consumption (kWh) at monthly or bi-monthly intervals. Vital electrical parameters—such as instantaneous demand (kW), reactive power (kVAR), voltage distortion, and power factor—are entirely unrecorded, blindfolding facility managers to phase imbalances and electrical inefficiencies.</w:t>
      </w:r>
    </w:p>
    <w:p>
      <w:r>
        <w:t>3. Fragmented Renewable Energy Management: Solar generation and battery storage systems typically operate on isolated third-party vendor portals. Energy managers are forced to switch between disparate platforms to manually reconcile grid import versus solar self-consumption.</w:t>
      </w:r>
    </w:p>
    <w:p>
      <w:r>
        <w:t>4. Reactive Incident Handling: Conventional installations lack automated anomaly detection. Overloads, voltage sags, and phase drops are only discovered after equipment tripping occurs or when exorbitant utility penalty bills arrive at the end of the billing cycle.</w:t>
      </w:r>
    </w:p>
    <w:p>
      <w:r>
        <w:t>5. Lack of Predictive Demand Intelligence: Energy managers lack automated tools to forecast upcoming electrical demand based on historical seasonal trends, leaving facilities vulnerable to unexpected peak demand surcharges.</w:t>
      </w:r>
    </w:p>
    <w:p>
      <w:pPr>
        <w:keepNext/>
        <w:spacing w:before="280" w:after="120"/>
      </w:pPr>
      <w:r>
        <w:rPr>
          <w:rFonts w:ascii="Calibri" w:hAnsi="Calibri"/>
          <w:b/>
          <w:color w:val="0D9488"/>
          <w:sz w:val="27"/>
        </w:rPr>
        <w:t>1.3 Project Objectives</w:t>
      </w:r>
    </w:p>
    <w:p>
      <w:r>
        <w:t>The primary objective of the GREEN GRID project is to design, implement, and validate an end-to-end, cloud-ready Smart Energy Management System. Specifically, the engineering objectives include:</w:t>
      </w:r>
    </w:p>
    <w:p>
      <w:r>
        <w:t>• Architectural Decentralization: Engineer a decoupled client-server architecture utilizing Python/Django REST Framework for business logic and React 18 for high-frequency metrology rendering.</w:t>
      </w:r>
    </w:p>
    <w:p>
      <w:r>
        <w:t>• Granular Multi-Facility Telemetry: Establish relational data structures capable of indexing electrical readings across multiple campus buildings, capturing active power (kW), reactive power (kVAR), power factor, voltage, frequency, and Total Harmonic Distortion (THD).</w:t>
      </w:r>
    </w:p>
    <w:p>
      <w:r>
        <w:t>• Integrated Renewable &amp; BESS Supervision: Construct specialized tracking subsystems for rooftop Solar PV arrays and Battery Energy Storage Systems to track real-time yield, efficiency, State of Charge (SoC), and thermal health.</w:t>
      </w:r>
    </w:p>
    <w:p>
      <w:r>
        <w:t>• Multi-Tier Commercial Tariff Billing: Implement a mathematical billing engine supporting multi-tier energy slabs, peak demand surcharges, solar net-metering credits, and dynamic CSV invoice generation.</w:t>
      </w:r>
    </w:p>
    <w:p>
      <w:r>
        <w:t>• Predictive Time-Series Forecasting: Embed statistical and machine learning linear extrapolation models to predict load demand over 1, 3, 7, and 14-day horizons.</w:t>
      </w:r>
    </w:p>
    <w:p>
      <w:r>
        <w:t>• Automated Anomaly Alarm Engine: Provide threshold-driven anomaly detection with categorized severity levels and lifecycle resolution tracking.</w:t>
      </w:r>
    </w:p>
    <w:p>
      <w:r>
        <w:t>• Regulatory Compliance &amp; Audit Export: Deliver automated reporting pipelines for CSV export of metrology, billing, and facility audit logs.</w:t>
      </w:r>
    </w:p>
    <w:p>
      <w:pPr>
        <w:keepNext/>
        <w:spacing w:before="280" w:after="120"/>
      </w:pPr>
      <w:r>
        <w:rPr>
          <w:rFonts w:ascii="Calibri" w:hAnsi="Calibri"/>
          <w:b/>
          <w:color w:val="0D9488"/>
          <w:sz w:val="27"/>
        </w:rPr>
        <w:t>1.4 Scope and Delimitations</w:t>
      </w:r>
    </w:p>
    <w:p>
      <w:r>
        <w:t>To ensure precise academic boundaries, the scope of this project is delineated as follows:</w:t>
      </w:r>
    </w:p>
    <w:p>
      <w:r>
        <w:t>In Scope:</w:t>
      </w:r>
    </w:p>
    <w:p>
      <w:r>
        <w:t>• Full-stack implementation of 12 enterprise modules covering Authentication, Facilities, Smart Meters, Energy Readings, Aggregations, Solar Assets, BESS Assets, Tariffs, Utility Bills, Analytics, Forecasting, and Alerts.</w:t>
      </w:r>
    </w:p>
    <w:p>
      <w:r>
        <w:t>• Relational database modeling using SQLite 3 with ACID-compliant relational schemas.</w:t>
      </w:r>
    </w:p>
    <w:p>
      <w:r>
        <w:t>• Development of a modern, responsive web application adhering to the Stitch design specifications.</w:t>
      </w:r>
    </w:p>
    <w:p>
      <w:r>
        <w:t>• Ingestion of simulated, statistically distributed smart meter telemetry mimicking industrial 3-phase meters.</w:t>
      </w:r>
    </w:p>
    <w:p>
      <w:r>
        <w:t>Delimitations / Future Scope:</w:t>
      </w:r>
    </w:p>
    <w:p>
      <w:r>
        <w:t>• Physical IoT Hardware Edge Gateways (RS-485 / Modbus RTU / BACnet/IP) are not physically deployed on campus transformers; the system operates on a validated high-fidelity telemetry simulator pipeline.</w:t>
      </w:r>
    </w:p>
    <w:p>
      <w:r>
        <w:t>• Complex Recurrent Deep Learning architectures (LSTM / Transformers) and automated payment gateway settlement are categorized under future work.</w:t>
      </w:r>
    </w:p>
    <w:p>
      <w:r>
        <w:br w:type="page"/>
      </w:r>
    </w:p>
    <w:p>
      <w:pPr>
        <w:keepNext/>
        <w:spacing w:before="360" w:after="160"/>
      </w:pPr>
      <w:r>
        <w:rPr>
          <w:rFonts w:ascii="Calibri" w:hAnsi="Calibri"/>
          <w:b/>
          <w:color w:val="064E3B"/>
          <w:sz w:val="34"/>
        </w:rPr>
        <w:t>CHAPTER 2: LITERATURE SURVEY &amp; EXISTING SYSTEM ANALYSIS</w:t>
      </w:r>
    </w:p>
    <w:p>
      <w:pPr>
        <w:keepNext/>
        <w:spacing w:before="280" w:after="120"/>
      </w:pPr>
      <w:r>
        <w:rPr>
          <w:rFonts w:ascii="Calibri" w:hAnsi="Calibri"/>
          <w:b/>
          <w:color w:val="0D9488"/>
          <w:sz w:val="27"/>
        </w:rPr>
        <w:t>2.1 Evolution of Building Energy Management Systems</w:t>
      </w:r>
    </w:p>
    <w:p>
      <w:r>
        <w:t>Building Energy Management Systems (BEMS) have progressed through three distinct generations over the past four decades. First-generation systems (1980s–1990s) relied on standalone Pneumatic and Direct Digital Control (DDC) hardware wired directly to chillers and air handling units, lacking digital network capabilities. Second-generation systems (2000s) introduced centralized supervisory control (SCADA) leveraging industrial protocols like BACnet and Modbus, but were constrained by on-premise monolithic desktop software with closed proprietary databases.</w:t>
      </w:r>
    </w:p>
    <w:p>
      <w:r>
        <w:t>Third-generation platforms represent the convergence of Cloud Computing, Internet of Things (IoT), and modern Web APIs. Research by Wang et al. (2021) demonstrates that decoupling telemetry collection from analytics layers reduces software maintenance costs by over 40% while accelerating dashboard visualization rendering.</w:t>
      </w:r>
    </w:p>
    <w:p>
      <w:pPr>
        <w:keepNext/>
        <w:spacing w:before="280" w:after="120"/>
      </w:pPr>
      <w:r>
        <w:rPr>
          <w:rFonts w:ascii="Calibri" w:hAnsi="Calibri"/>
          <w:b/>
          <w:color w:val="0D9488"/>
          <w:sz w:val="27"/>
        </w:rPr>
        <w:t>2.2 Power Quality &amp; Metrology Standards</w:t>
      </w:r>
    </w:p>
    <w:p>
      <w:r>
        <w:t>Accurate energy management requires adherence to established electrical metrology standards. The IEEE 519-2022 standard defines recommended practices and requirements for harmonic control in electric power systems. Non-linear loads—such as variable frequency drives (VFDs) and computer server power supplies—inject harmonic currents into the grid, causing voltage distortion, excessive transformer heating, and nuisance breaker tripping.</w:t>
      </w:r>
    </w:p>
    <w:p>
      <w:r>
        <w:t>Furthermore, industrial electricity tariffs enforce severe penalties when the facility's Power Factor falls below 0.90. The Power Factor (PF) is defined as the ratio of real active power (P in kW) to apparent power (S in kVA):</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0D9488"/>
              <w:bottom w:val="none"/>
              <w:right w:val="none"/>
            </w:tcBorders>
          </w:tcPr>
          <w:p>
            <w:pPr>
              <w:spacing w:before="40" w:after="40" w:line="276" w:lineRule="auto"/>
            </w:pPr>
            <w:r>
              <w:rPr>
                <w:rFonts w:ascii="Calibri" w:hAnsi="Calibri"/>
                <w:b/>
                <w:color w:val="064E3B"/>
                <w:sz w:val="21"/>
              </w:rPr>
              <w:t>MATHEMATICAL FORMULATION OF ELECTRICAL POWER QUALITY</w:t>
              <w:br/>
            </w:r>
            <w:r>
              <w:rPr>
                <w:rFonts w:ascii="Calibri" w:hAnsi="Calibri"/>
                <w:color w:val="1E293B"/>
                <w:sz w:val="20"/>
              </w:rPr>
              <w:t>Power Factor (PF) = Real Power (kW) / Apparent Power (kVA) = P / sqrt(P^2 + Q^2)</w:t>
              <w:br/>
              <w:t>where Q represents the reactive power in kVAR.</w:t>
              <w:br/>
              <w:t>Total Harmonic Distortion (THD_V) = sqrt(sum(V_n^2 from n=2 to inf)) / V_1 * 100%</w:t>
            </w:r>
          </w:p>
        </w:tc>
      </w:tr>
    </w:tbl>
    <w:p>
      <w:pPr>
        <w:spacing w:before="0" w:after="80"/>
      </w:pPr>
    </w:p>
    <w:p>
      <w:pPr>
        <w:keepNext/>
        <w:spacing w:before="280" w:after="120"/>
      </w:pPr>
      <w:r>
        <w:rPr>
          <w:rFonts w:ascii="Calibri" w:hAnsi="Calibri"/>
          <w:b/>
          <w:color w:val="0D9488"/>
          <w:sz w:val="27"/>
        </w:rPr>
        <w:t>2.3 Analysis of Commercial Solutions &amp; Gaps</w:t>
      </w:r>
    </w:p>
    <w:p>
      <w:r>
        <w:t>A critical survey of commercially available platforms reveals several prominent trade-offs:</w:t>
      </w:r>
    </w:p>
    <w:p>
      <w:r>
        <w:t>• Proprietary Enterprise BEMS (e.g., Schneider EcoStruxure, Siemens Desigo CC, Honeywell Forge): These systems offer robust industrial hardware controllers but suffer from exorbitant licensing fees, vendor lock-in, and rigid closed user interfaces that cannot be easily customized for educational or enterprise campuses.</w:t>
      </w:r>
    </w:p>
    <w:p>
      <w:r>
        <w:t>• Generic Open-Source IoT Dashboards (e.g., ThingsBoard, Grafana, Home Assistant): While these tools excel at generic sensor charting, they lack domain-specific electrical intelligence. They do not possess built-in commercial HT multi-tier tariff calculation engines, BESS lifecycle degradation metrics, or energy regulatory compliance reporting workflows.</w:t>
      </w:r>
    </w:p>
    <w:p>
      <w:pPr>
        <w:keepNext/>
        <w:spacing w:before="280" w:after="120"/>
      </w:pPr>
      <w:r>
        <w:rPr>
          <w:rFonts w:ascii="Calibri" w:hAnsi="Calibri"/>
          <w:b/>
          <w:color w:val="0D9488"/>
          <w:sz w:val="27"/>
        </w:rPr>
        <w:t>2.4 Technical Comparison Matrix</w:t>
      </w:r>
    </w:p>
    <w:p>
      <w:r>
        <w:t>Table 2.1 highlights the comparative architectural advantages of GreenGrid relative to existing solutions: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064E3B"/>
            <w:tcMar>
              <w:top w:w="140" w:type="dxa"/>
              <w:bottom w:w="140" w:type="dxa"/>
              <w:left w:w="140" w:type="dxa"/>
              <w:right w:w="140" w:type="dxa"/>
            </w:tcMar>
          </w:tcPr>
          <w:p>
            <w:r>
              <w:rPr>
                <w:b/>
                <w:color w:val="FFFFFF"/>
                <w:sz w:val="19"/>
              </w:rPr>
              <w:t>Evaluation Metric</w:t>
            </w:r>
          </w:p>
        </w:tc>
        <w:tc>
          <w:tcPr>
            <w:tcW w:type="dxa" w:w="2340"/>
            <w:shd w:fill="064E3B"/>
            <w:tcMar>
              <w:top w:w="140" w:type="dxa"/>
              <w:bottom w:w="140" w:type="dxa"/>
              <w:left w:w="140" w:type="dxa"/>
              <w:right w:w="140" w:type="dxa"/>
            </w:tcMar>
          </w:tcPr>
          <w:p>
            <w:r>
              <w:rPr>
                <w:b/>
                <w:color w:val="FFFFFF"/>
                <w:sz w:val="19"/>
              </w:rPr>
              <w:t>Traditional BEMS</w:t>
            </w:r>
          </w:p>
        </w:tc>
        <w:tc>
          <w:tcPr>
            <w:tcW w:type="dxa" w:w="2340"/>
            <w:shd w:fill="064E3B"/>
            <w:tcMar>
              <w:top w:w="140" w:type="dxa"/>
              <w:bottom w:w="140" w:type="dxa"/>
              <w:left w:w="140" w:type="dxa"/>
              <w:right w:w="140" w:type="dxa"/>
            </w:tcMar>
          </w:tcPr>
          <w:p>
            <w:r>
              <w:rPr>
                <w:b/>
                <w:color w:val="FFFFFF"/>
                <w:sz w:val="19"/>
              </w:rPr>
              <w:t>Generic IoT Dashboards</w:t>
            </w:r>
          </w:p>
        </w:tc>
        <w:tc>
          <w:tcPr>
            <w:tcW w:type="dxa" w:w="2340"/>
            <w:shd w:fill="064E3B"/>
            <w:tcMar>
              <w:top w:w="140" w:type="dxa"/>
              <w:bottom w:w="140" w:type="dxa"/>
              <w:left w:w="140" w:type="dxa"/>
              <w:right w:w="140" w:type="dxa"/>
            </w:tcMar>
          </w:tcPr>
          <w:p>
            <w:r>
              <w:rPr>
                <w:b/>
                <w:color w:val="FFFFFF"/>
                <w:sz w:val="19"/>
              </w:rPr>
              <w:t>GreenGrid Platform</w:t>
            </w:r>
          </w:p>
        </w:tc>
      </w:tr>
      <w:tr>
        <w:tc>
          <w:tcPr>
            <w:tcW w:type="dxa" w:w="2340"/>
            <w:shd w:fill="FFFFFF"/>
            <w:tcMar>
              <w:top w:w="100" w:type="dxa"/>
              <w:bottom w:w="100" w:type="dxa"/>
              <w:left w:w="120" w:type="dxa"/>
              <w:right w:w="120" w:type="dxa"/>
            </w:tcMar>
          </w:tcPr>
          <w:p>
            <w:r>
              <w:rPr>
                <w:b/>
                <w:sz w:val="18"/>
              </w:rPr>
              <w:t>Architecture Type</w:t>
            </w:r>
          </w:p>
        </w:tc>
        <w:tc>
          <w:tcPr>
            <w:tcW w:type="dxa" w:w="2340"/>
            <w:shd w:fill="FFFFFF"/>
            <w:tcMar>
              <w:top w:w="100" w:type="dxa"/>
              <w:bottom w:w="100" w:type="dxa"/>
              <w:left w:w="120" w:type="dxa"/>
              <w:right w:w="120" w:type="dxa"/>
            </w:tcMar>
          </w:tcPr>
          <w:p>
            <w:r>
              <w:rPr>
                <w:sz w:val="18"/>
              </w:rPr>
              <w:t>Monolithic On-Premise</w:t>
            </w:r>
          </w:p>
        </w:tc>
        <w:tc>
          <w:tcPr>
            <w:tcW w:type="dxa" w:w="2340"/>
            <w:shd w:fill="FFFFFF"/>
            <w:tcMar>
              <w:top w:w="100" w:type="dxa"/>
              <w:bottom w:w="100" w:type="dxa"/>
              <w:left w:w="120" w:type="dxa"/>
              <w:right w:w="120" w:type="dxa"/>
            </w:tcMar>
          </w:tcPr>
          <w:p>
            <w:r>
              <w:rPr>
                <w:sz w:val="18"/>
              </w:rPr>
              <w:t>Generic Microservices</w:t>
            </w:r>
          </w:p>
        </w:tc>
        <w:tc>
          <w:tcPr>
            <w:tcW w:type="dxa" w:w="2340"/>
            <w:shd w:fill="FFFFFF"/>
            <w:tcMar>
              <w:top w:w="100" w:type="dxa"/>
              <w:bottom w:w="100" w:type="dxa"/>
              <w:left w:w="120" w:type="dxa"/>
              <w:right w:w="120" w:type="dxa"/>
            </w:tcMar>
          </w:tcPr>
          <w:p>
            <w:r>
              <w:rPr>
                <w:b/>
                <w:color w:val="064E3B"/>
                <w:sz w:val="18"/>
              </w:rPr>
              <w:t>Decoupled 3-Tier Web SPA</w:t>
            </w:r>
          </w:p>
        </w:tc>
      </w:tr>
      <w:tr>
        <w:tc>
          <w:tcPr>
            <w:tcW w:type="dxa" w:w="2340"/>
            <w:shd w:fill="F8FAFC"/>
            <w:tcMar>
              <w:top w:w="100" w:type="dxa"/>
              <w:bottom w:w="100" w:type="dxa"/>
              <w:left w:w="120" w:type="dxa"/>
              <w:right w:w="120" w:type="dxa"/>
            </w:tcMar>
          </w:tcPr>
          <w:p>
            <w:r>
              <w:rPr>
                <w:b/>
                <w:sz w:val="18"/>
              </w:rPr>
              <w:t>Hardware Dependency</w:t>
            </w:r>
          </w:p>
        </w:tc>
        <w:tc>
          <w:tcPr>
            <w:tcW w:type="dxa" w:w="2340"/>
            <w:shd w:fill="F8FAFC"/>
            <w:tcMar>
              <w:top w:w="100" w:type="dxa"/>
              <w:bottom w:w="100" w:type="dxa"/>
              <w:left w:w="120" w:type="dxa"/>
              <w:right w:w="120" w:type="dxa"/>
            </w:tcMar>
          </w:tcPr>
          <w:p>
            <w:r>
              <w:rPr>
                <w:sz w:val="18"/>
              </w:rPr>
              <w:t>Proprietary Controllers</w:t>
            </w:r>
          </w:p>
        </w:tc>
        <w:tc>
          <w:tcPr>
            <w:tcW w:type="dxa" w:w="2340"/>
            <w:shd w:fill="F8FAFC"/>
            <w:tcMar>
              <w:top w:w="100" w:type="dxa"/>
              <w:bottom w:w="100" w:type="dxa"/>
              <w:left w:w="120" w:type="dxa"/>
              <w:right w:w="120" w:type="dxa"/>
            </w:tcMar>
          </w:tcPr>
          <w:p>
            <w:r>
              <w:rPr>
                <w:sz w:val="18"/>
              </w:rPr>
              <w:t>Generic MQTT Gateways</w:t>
            </w:r>
          </w:p>
        </w:tc>
        <w:tc>
          <w:tcPr>
            <w:tcW w:type="dxa" w:w="2340"/>
            <w:shd w:fill="F8FAFC"/>
            <w:tcMar>
              <w:top w:w="100" w:type="dxa"/>
              <w:bottom w:w="100" w:type="dxa"/>
              <w:left w:w="120" w:type="dxa"/>
              <w:right w:w="120" w:type="dxa"/>
            </w:tcMar>
          </w:tcPr>
          <w:p>
            <w:r>
              <w:rPr>
                <w:b/>
                <w:color w:val="064E3B"/>
                <w:sz w:val="18"/>
              </w:rPr>
              <w:t>Open RESTful Telemetry</w:t>
            </w:r>
          </w:p>
        </w:tc>
      </w:tr>
      <w:tr>
        <w:tc>
          <w:tcPr>
            <w:tcW w:type="dxa" w:w="2340"/>
            <w:shd w:fill="FFFFFF"/>
            <w:tcMar>
              <w:top w:w="100" w:type="dxa"/>
              <w:bottom w:w="100" w:type="dxa"/>
              <w:left w:w="120" w:type="dxa"/>
              <w:right w:w="120" w:type="dxa"/>
            </w:tcMar>
          </w:tcPr>
          <w:p>
            <w:r>
              <w:rPr>
                <w:b/>
                <w:sz w:val="18"/>
              </w:rPr>
              <w:t>Metrology Rigor</w:t>
            </w:r>
          </w:p>
        </w:tc>
        <w:tc>
          <w:tcPr>
            <w:tcW w:type="dxa" w:w="2340"/>
            <w:shd w:fill="FFFFFF"/>
            <w:tcMar>
              <w:top w:w="100" w:type="dxa"/>
              <w:bottom w:w="100" w:type="dxa"/>
              <w:left w:w="120" w:type="dxa"/>
              <w:right w:w="120" w:type="dxa"/>
            </w:tcMar>
          </w:tcPr>
          <w:p>
            <w:r>
              <w:rPr>
                <w:sz w:val="18"/>
              </w:rPr>
              <w:t>Basic Active kWh Only</w:t>
            </w:r>
          </w:p>
        </w:tc>
        <w:tc>
          <w:tcPr>
            <w:tcW w:type="dxa" w:w="2340"/>
            <w:shd w:fill="FFFFFF"/>
            <w:tcMar>
              <w:top w:w="100" w:type="dxa"/>
              <w:bottom w:w="100" w:type="dxa"/>
              <w:left w:w="120" w:type="dxa"/>
              <w:right w:w="120" w:type="dxa"/>
            </w:tcMar>
          </w:tcPr>
          <w:p>
            <w:r>
              <w:rPr>
                <w:sz w:val="18"/>
              </w:rPr>
              <w:t>Raw Telemetry Timeseries</w:t>
            </w:r>
          </w:p>
        </w:tc>
        <w:tc>
          <w:tcPr>
            <w:tcW w:type="dxa" w:w="2340"/>
            <w:shd w:fill="FFFFFF"/>
            <w:tcMar>
              <w:top w:w="100" w:type="dxa"/>
              <w:bottom w:w="100" w:type="dxa"/>
              <w:left w:w="120" w:type="dxa"/>
              <w:right w:w="120" w:type="dxa"/>
            </w:tcMar>
          </w:tcPr>
          <w:p>
            <w:r>
              <w:rPr>
                <w:b/>
                <w:color w:val="064E3B"/>
                <w:sz w:val="18"/>
              </w:rPr>
              <w:t>Active, Reactive, PF, THD</w:t>
            </w:r>
          </w:p>
        </w:tc>
      </w:tr>
      <w:tr>
        <w:tc>
          <w:tcPr>
            <w:tcW w:type="dxa" w:w="2340"/>
            <w:shd w:fill="F8FAFC"/>
            <w:tcMar>
              <w:top w:w="100" w:type="dxa"/>
              <w:bottom w:w="100" w:type="dxa"/>
              <w:left w:w="120" w:type="dxa"/>
              <w:right w:w="120" w:type="dxa"/>
            </w:tcMar>
          </w:tcPr>
          <w:p>
            <w:r>
              <w:rPr>
                <w:b/>
                <w:sz w:val="18"/>
              </w:rPr>
              <w:t>Renewable &amp; BESS</w:t>
            </w:r>
          </w:p>
        </w:tc>
        <w:tc>
          <w:tcPr>
            <w:tcW w:type="dxa" w:w="2340"/>
            <w:shd w:fill="F8FAFC"/>
            <w:tcMar>
              <w:top w:w="100" w:type="dxa"/>
              <w:bottom w:w="100" w:type="dxa"/>
              <w:left w:w="120" w:type="dxa"/>
              <w:right w:w="120" w:type="dxa"/>
            </w:tcMar>
          </w:tcPr>
          <w:p>
            <w:r>
              <w:rPr>
                <w:sz w:val="18"/>
              </w:rPr>
              <w:t>Fragmented / 3rd Party</w:t>
            </w:r>
          </w:p>
        </w:tc>
        <w:tc>
          <w:tcPr>
            <w:tcW w:type="dxa" w:w="2340"/>
            <w:shd w:fill="F8FAFC"/>
            <w:tcMar>
              <w:top w:w="100" w:type="dxa"/>
              <w:bottom w:w="100" w:type="dxa"/>
              <w:left w:w="120" w:type="dxa"/>
              <w:right w:w="120" w:type="dxa"/>
            </w:tcMar>
          </w:tcPr>
          <w:p>
            <w:r>
              <w:rPr>
                <w:sz w:val="18"/>
              </w:rPr>
              <w:t>Custom Dashboard Needed</w:t>
            </w:r>
          </w:p>
        </w:tc>
        <w:tc>
          <w:tcPr>
            <w:tcW w:type="dxa" w:w="2340"/>
            <w:shd w:fill="F8FAFC"/>
            <w:tcMar>
              <w:top w:w="100" w:type="dxa"/>
              <w:bottom w:w="100" w:type="dxa"/>
              <w:left w:w="120" w:type="dxa"/>
              <w:right w:w="120" w:type="dxa"/>
            </w:tcMar>
          </w:tcPr>
          <w:p>
            <w:r>
              <w:rPr>
                <w:b/>
                <w:color w:val="064E3B"/>
                <w:sz w:val="18"/>
              </w:rPr>
              <w:t>Native Solar &amp; Battery UI</w:t>
            </w:r>
          </w:p>
        </w:tc>
      </w:tr>
      <w:tr>
        <w:tc>
          <w:tcPr>
            <w:tcW w:type="dxa" w:w="2340"/>
            <w:shd w:fill="FFFFFF"/>
            <w:tcMar>
              <w:top w:w="100" w:type="dxa"/>
              <w:bottom w:w="100" w:type="dxa"/>
              <w:left w:w="120" w:type="dxa"/>
              <w:right w:w="120" w:type="dxa"/>
            </w:tcMar>
          </w:tcPr>
          <w:p>
            <w:r>
              <w:rPr>
                <w:b/>
                <w:sz w:val="18"/>
              </w:rPr>
              <w:t>Commercial Billing</w:t>
            </w:r>
          </w:p>
        </w:tc>
        <w:tc>
          <w:tcPr>
            <w:tcW w:type="dxa" w:w="2340"/>
            <w:shd w:fill="FFFFFF"/>
            <w:tcMar>
              <w:top w:w="100" w:type="dxa"/>
              <w:bottom w:w="100" w:type="dxa"/>
              <w:left w:w="120" w:type="dxa"/>
              <w:right w:w="120" w:type="dxa"/>
            </w:tcMar>
          </w:tcPr>
          <w:p>
            <w:r>
              <w:rPr>
                <w:sz w:val="18"/>
              </w:rPr>
              <w:t>Separate ERP / Manual</w:t>
            </w:r>
          </w:p>
        </w:tc>
        <w:tc>
          <w:tcPr>
            <w:tcW w:type="dxa" w:w="2340"/>
            <w:shd w:fill="FFFFFF"/>
            <w:tcMar>
              <w:top w:w="100" w:type="dxa"/>
              <w:bottom w:w="100" w:type="dxa"/>
              <w:left w:w="120" w:type="dxa"/>
              <w:right w:w="120" w:type="dxa"/>
            </w:tcMar>
          </w:tcPr>
          <w:p>
            <w:r>
              <w:rPr>
                <w:sz w:val="18"/>
              </w:rPr>
              <w:t>Not Supported</w:t>
            </w:r>
          </w:p>
        </w:tc>
        <w:tc>
          <w:tcPr>
            <w:tcW w:type="dxa" w:w="2340"/>
            <w:shd w:fill="FFFFFF"/>
            <w:tcMar>
              <w:top w:w="100" w:type="dxa"/>
              <w:bottom w:w="100" w:type="dxa"/>
              <w:left w:w="120" w:type="dxa"/>
              <w:right w:w="120" w:type="dxa"/>
            </w:tcMar>
          </w:tcPr>
          <w:p>
            <w:r>
              <w:rPr>
                <w:b/>
                <w:color w:val="064E3B"/>
                <w:sz w:val="18"/>
              </w:rPr>
              <w:t>Automated Multi-Tier Tariff</w:t>
            </w:r>
          </w:p>
        </w:tc>
      </w:tr>
      <w:tr>
        <w:tc>
          <w:tcPr>
            <w:tcW w:type="dxa" w:w="2340"/>
            <w:shd w:fill="F8FAFC"/>
            <w:tcMar>
              <w:top w:w="100" w:type="dxa"/>
              <w:bottom w:w="100" w:type="dxa"/>
              <w:left w:w="120" w:type="dxa"/>
              <w:right w:w="120" w:type="dxa"/>
            </w:tcMar>
          </w:tcPr>
          <w:p>
            <w:r>
              <w:rPr>
                <w:b/>
                <w:sz w:val="18"/>
              </w:rPr>
              <w:t>Predictive Forecasting</w:t>
            </w:r>
          </w:p>
        </w:tc>
        <w:tc>
          <w:tcPr>
            <w:tcW w:type="dxa" w:w="2340"/>
            <w:shd w:fill="F8FAFC"/>
            <w:tcMar>
              <w:top w:w="100" w:type="dxa"/>
              <w:bottom w:w="100" w:type="dxa"/>
              <w:left w:w="120" w:type="dxa"/>
              <w:right w:w="120" w:type="dxa"/>
            </w:tcMar>
          </w:tcPr>
          <w:p>
            <w:r>
              <w:rPr>
                <w:sz w:val="18"/>
              </w:rPr>
              <w:t>High-End Add-on License</w:t>
            </w:r>
          </w:p>
        </w:tc>
        <w:tc>
          <w:tcPr>
            <w:tcW w:type="dxa" w:w="2340"/>
            <w:shd w:fill="F8FAFC"/>
            <w:tcMar>
              <w:top w:w="100" w:type="dxa"/>
              <w:bottom w:w="100" w:type="dxa"/>
              <w:left w:w="120" w:type="dxa"/>
              <w:right w:w="120" w:type="dxa"/>
            </w:tcMar>
          </w:tcPr>
          <w:p>
            <w:r>
              <w:rPr>
                <w:sz w:val="18"/>
              </w:rPr>
              <w:t>External Scripting</w:t>
            </w:r>
          </w:p>
        </w:tc>
        <w:tc>
          <w:tcPr>
            <w:tcW w:type="dxa" w:w="2340"/>
            <w:shd w:fill="F8FAFC"/>
            <w:tcMar>
              <w:top w:w="100" w:type="dxa"/>
              <w:bottom w:w="100" w:type="dxa"/>
              <w:left w:w="120" w:type="dxa"/>
              <w:right w:w="120" w:type="dxa"/>
            </w:tcMar>
          </w:tcPr>
          <w:p>
            <w:r>
              <w:rPr>
                <w:b/>
                <w:color w:val="064E3B"/>
                <w:sz w:val="18"/>
              </w:rPr>
              <w:t>Integrated Scikit-learn ML</w:t>
            </w:r>
          </w:p>
        </w:tc>
      </w:tr>
      <w:tr>
        <w:tc>
          <w:tcPr>
            <w:tcW w:type="dxa" w:w="2340"/>
            <w:shd w:fill="FFFFFF"/>
            <w:tcMar>
              <w:top w:w="100" w:type="dxa"/>
              <w:bottom w:w="100" w:type="dxa"/>
              <w:left w:w="120" w:type="dxa"/>
              <w:right w:w="120" w:type="dxa"/>
            </w:tcMar>
          </w:tcPr>
          <w:p>
            <w:r>
              <w:rPr>
                <w:b/>
                <w:sz w:val="18"/>
              </w:rPr>
              <w:t>Compliance Reporting</w:t>
            </w:r>
          </w:p>
        </w:tc>
        <w:tc>
          <w:tcPr>
            <w:tcW w:type="dxa" w:w="2340"/>
            <w:shd w:fill="FFFFFF"/>
            <w:tcMar>
              <w:top w:w="100" w:type="dxa"/>
              <w:bottom w:w="100" w:type="dxa"/>
              <w:left w:w="120" w:type="dxa"/>
              <w:right w:w="120" w:type="dxa"/>
            </w:tcMar>
          </w:tcPr>
          <w:p>
            <w:r>
              <w:rPr>
                <w:sz w:val="18"/>
              </w:rPr>
              <w:t>Static PDF Exports</w:t>
            </w:r>
          </w:p>
        </w:tc>
        <w:tc>
          <w:tcPr>
            <w:tcW w:type="dxa" w:w="2340"/>
            <w:shd w:fill="FFFFFF"/>
            <w:tcMar>
              <w:top w:w="100" w:type="dxa"/>
              <w:bottom w:w="100" w:type="dxa"/>
              <w:left w:w="120" w:type="dxa"/>
              <w:right w:w="120" w:type="dxa"/>
            </w:tcMar>
          </w:tcPr>
          <w:p>
            <w:r>
              <w:rPr>
                <w:sz w:val="18"/>
              </w:rPr>
              <w:t>Raw CSV Dumps</w:t>
            </w:r>
          </w:p>
        </w:tc>
        <w:tc>
          <w:tcPr>
            <w:tcW w:type="dxa" w:w="2340"/>
            <w:shd w:fill="FFFFFF"/>
            <w:tcMar>
              <w:top w:w="100" w:type="dxa"/>
              <w:bottom w:w="100" w:type="dxa"/>
              <w:left w:w="120" w:type="dxa"/>
              <w:right w:w="120" w:type="dxa"/>
            </w:tcMar>
          </w:tcPr>
          <w:p>
            <w:r>
              <w:rPr>
                <w:b/>
                <w:color w:val="064E3B"/>
                <w:sz w:val="18"/>
              </w:rPr>
              <w:t>Structured Regulatory CSV</w:t>
            </w:r>
          </w:p>
        </w:tc>
      </w:tr>
      <w:tr>
        <w:tc>
          <w:tcPr>
            <w:tcW w:type="dxa" w:w="2340"/>
            <w:shd w:fill="F8FAFC"/>
            <w:tcMar>
              <w:top w:w="100" w:type="dxa"/>
              <w:bottom w:w="100" w:type="dxa"/>
              <w:left w:w="120" w:type="dxa"/>
              <w:right w:w="120" w:type="dxa"/>
            </w:tcMar>
          </w:tcPr>
          <w:p>
            <w:r>
              <w:rPr>
                <w:b/>
                <w:sz w:val="18"/>
              </w:rPr>
              <w:t>Licensing &amp; Cost</w:t>
            </w:r>
          </w:p>
        </w:tc>
        <w:tc>
          <w:tcPr>
            <w:tcW w:type="dxa" w:w="2340"/>
            <w:shd w:fill="F8FAFC"/>
            <w:tcMar>
              <w:top w:w="100" w:type="dxa"/>
              <w:bottom w:w="100" w:type="dxa"/>
              <w:left w:w="120" w:type="dxa"/>
              <w:right w:w="120" w:type="dxa"/>
            </w:tcMar>
          </w:tcPr>
          <w:p>
            <w:r>
              <w:rPr>
                <w:sz w:val="18"/>
              </w:rPr>
              <w:t>Prohibitive Enterprise Fee</w:t>
            </w:r>
          </w:p>
        </w:tc>
        <w:tc>
          <w:tcPr>
            <w:tcW w:type="dxa" w:w="2340"/>
            <w:shd w:fill="F8FAFC"/>
            <w:tcMar>
              <w:top w:w="100" w:type="dxa"/>
              <w:bottom w:w="100" w:type="dxa"/>
              <w:left w:w="120" w:type="dxa"/>
              <w:right w:w="120" w:type="dxa"/>
            </w:tcMar>
          </w:tcPr>
          <w:p>
            <w:r>
              <w:rPr>
                <w:sz w:val="18"/>
              </w:rPr>
              <w:t>Self-Hosted Maintenance</w:t>
            </w:r>
          </w:p>
        </w:tc>
        <w:tc>
          <w:tcPr>
            <w:tcW w:type="dxa" w:w="2340"/>
            <w:shd w:fill="F8FAFC"/>
            <w:tcMar>
              <w:top w:w="100" w:type="dxa"/>
              <w:bottom w:w="100" w:type="dxa"/>
              <w:left w:w="120" w:type="dxa"/>
              <w:right w:w="120" w:type="dxa"/>
            </w:tcMar>
          </w:tcPr>
          <w:p>
            <w:r>
              <w:rPr>
                <w:b/>
                <w:color w:val="064E3B"/>
                <w:sz w:val="18"/>
              </w:rPr>
              <w:t>Open, Scalable &amp; Cost-Free</w:t>
            </w:r>
          </w:p>
        </w:tc>
      </w:tr>
    </w:tbl>
    <w:p>
      <w:r>
        <w:br w:type="page"/>
      </w:r>
    </w:p>
    <w:p>
      <w:pPr>
        <w:keepNext/>
        <w:spacing w:before="360" w:after="160"/>
      </w:pPr>
      <w:r>
        <w:rPr>
          <w:rFonts w:ascii="Calibri" w:hAnsi="Calibri"/>
          <w:b/>
          <w:color w:val="064E3B"/>
          <w:sz w:val="34"/>
        </w:rPr>
        <w:t>CHAPTER 3: SYSTEM REQUIREMENTS &amp; FEASIBILITY ANALYSIS</w:t>
      </w:r>
    </w:p>
    <w:p>
      <w:pPr>
        <w:keepNext/>
        <w:spacing w:before="280" w:after="120"/>
      </w:pPr>
      <w:r>
        <w:rPr>
          <w:rFonts w:ascii="Calibri" w:hAnsi="Calibri"/>
          <w:b/>
          <w:color w:val="0D9488"/>
          <w:sz w:val="27"/>
        </w:rPr>
        <w:t>3.1 Stakeholder Analysis &amp; Personas</w:t>
      </w:r>
    </w:p>
    <w:p>
      <w:r>
        <w:t>A rigorous requirements elicitation process identified five primary stakeholder personas:</w:t>
      </w:r>
    </w:p>
    <w:p>
      <w:r>
        <w:t>1. Campus Energy Manager: Requires high-level dashboard summaries, aggregate consumption trends, carbon offset kpis, and predictive forecasting to plan seasonal energy budgets.</w:t>
      </w:r>
    </w:p>
    <w:p>
      <w:r>
        <w:t>2. Facility Electrical Engineer: Needs sub-second visibility into transformer loading, phase voltage balance, sub-meter current draws, power factor degradation, and instant anomaly notifications.</w:t>
      </w:r>
    </w:p>
    <w:p>
      <w:r>
        <w:t>3. Renewable Assets Operator: Focuses on rooftop solar inverter yield, BESS state-of-charge, battery depth of discharge (DoD), and thermal equilibrium.</w:t>
      </w:r>
    </w:p>
    <w:p>
      <w:r>
        <w:t>4. Accounts &amp; Billing Auditor: Requires transparent breakdown of monthly electricity costs, peak tariff penalties, solar credit deductions, and exportable regulatory invoices.</w:t>
      </w:r>
    </w:p>
    <w:p>
      <w:r>
        <w:t>5. System Administrator: Manages user accounts, JWT credentials, facility registries, and smart meter metadata.</w:t>
      </w:r>
    </w:p>
    <w:p>
      <w:pPr>
        <w:keepNext/>
        <w:spacing w:before="280" w:after="120"/>
      </w:pPr>
      <w:r>
        <w:rPr>
          <w:rFonts w:ascii="Calibri" w:hAnsi="Calibri"/>
          <w:b/>
          <w:color w:val="0D9488"/>
          <w:sz w:val="27"/>
        </w:rPr>
        <w:t>3.2 Functional Requirements (FR-01 to FR-12)</w:t>
      </w:r>
    </w:p>
    <w:p>
      <w:pPr>
        <w:spacing w:before="40" w:after="60"/>
      </w:pPr>
      <w:r>
        <w:rPr>
          <w:b/>
          <w:color w:val="0D9488"/>
        </w:rPr>
        <w:t xml:space="preserve">• FR-01: User Authentication &amp; Role Authorization: </w:t>
      </w:r>
      <w:r>
        <w:rPr>
          <w:sz w:val="21"/>
        </w:rPr>
        <w:t>The system shall authenticate users via JSON Web Tokens (JWT) and enforce role-based access control (Admin, Energy Manager, Viewer).</w:t>
      </w:r>
    </w:p>
    <w:p>
      <w:pPr>
        <w:spacing w:before="40" w:after="60"/>
      </w:pPr>
      <w:r>
        <w:rPr>
          <w:b/>
          <w:color w:val="0D9488"/>
        </w:rPr>
        <w:t xml:space="preserve">• FR-02: Organization &amp; Facility Hierarchy: </w:t>
      </w:r>
      <w:r>
        <w:rPr>
          <w:sz w:val="21"/>
        </w:rPr>
        <w:t>The system shall model multi-tenant organizations and nested facilities with attributes including square footage, floor counts, and geo-coordinates.</w:t>
      </w:r>
    </w:p>
    <w:p>
      <w:pPr>
        <w:spacing w:before="40" w:after="60"/>
      </w:pPr>
      <w:r>
        <w:rPr>
          <w:b/>
          <w:color w:val="0D9488"/>
        </w:rPr>
        <w:t xml:space="preserve">• FR-03: Smart Meter Metadata Management: </w:t>
      </w:r>
      <w:r>
        <w:rPr>
          <w:sz w:val="21"/>
        </w:rPr>
        <w:t>The system shall record smart meter hardware specifications, rated capacity (kW), calibration dates, and operational status.</w:t>
      </w:r>
    </w:p>
    <w:p>
      <w:pPr>
        <w:spacing w:before="40" w:after="60"/>
      </w:pPr>
      <w:r>
        <w:rPr>
          <w:b/>
          <w:color w:val="0D9488"/>
        </w:rPr>
        <w:t xml:space="preserve">• FR-04: High-Frequency Telemetry Ingestion: </w:t>
      </w:r>
      <w:r>
        <w:rPr>
          <w:sz w:val="21"/>
        </w:rPr>
        <w:t>The system shall ingest instantaneous electrical readings comprising kW, kWh, kVAR, Power Factor, Voltage, Current, Frequency, and THD.</w:t>
      </w:r>
    </w:p>
    <w:p>
      <w:pPr>
        <w:spacing w:before="40" w:after="60"/>
      </w:pPr>
      <w:r>
        <w:rPr>
          <w:b/>
          <w:color w:val="0D9488"/>
        </w:rPr>
        <w:t xml:space="preserve">• FR-05: Automated Daily Energy Aggregation: </w:t>
      </w:r>
      <w:r>
        <w:rPr>
          <w:sz w:val="21"/>
        </w:rPr>
        <w:t>The system shall compute daily rollups capturing total kWh, peak demand kW, minimum kW, average power factor, and on/off-peak usage.</w:t>
      </w:r>
    </w:p>
    <w:p>
      <w:pPr>
        <w:spacing w:before="40" w:after="60"/>
      </w:pPr>
      <w:r>
        <w:rPr>
          <w:b/>
          <w:color w:val="0D9488"/>
        </w:rPr>
        <w:t xml:space="preserve">• FR-06: Solar PV Yield &amp; Efficiency Monitoring: </w:t>
      </w:r>
      <w:r>
        <w:rPr>
          <w:sz w:val="21"/>
        </w:rPr>
        <w:t>The system shall track solar generation output (kW), daily cumulative yield (kWh), inverter efficiency percentage, and operational state.</w:t>
      </w:r>
    </w:p>
    <w:p>
      <w:pPr>
        <w:spacing w:before="40" w:after="60"/>
      </w:pPr>
      <w:r>
        <w:rPr>
          <w:b/>
          <w:color w:val="0D9488"/>
        </w:rPr>
        <w:t xml:space="preserve">• FR-07: Battery Storage (BESS) Supervision: </w:t>
      </w:r>
      <w:r>
        <w:rPr>
          <w:sz w:val="21"/>
        </w:rPr>
        <w:t>The system shall track battery capacity (kWh), current charge, State-of-Charge (SoC %), charge/discharge rates (kW), and internal temperature (°C).</w:t>
      </w:r>
    </w:p>
    <w:p>
      <w:pPr>
        <w:spacing w:before="40" w:after="60"/>
      </w:pPr>
      <w:r>
        <w:rPr>
          <w:b/>
          <w:color w:val="0D9488"/>
        </w:rPr>
        <w:t xml:space="preserve">• FR-08: HT Commercial Multi-Tier Billing: </w:t>
      </w:r>
      <w:r>
        <w:rPr>
          <w:sz w:val="21"/>
        </w:rPr>
        <w:t>The system shall calculate monthly invoices incorporating multi-tier consumption slabs, fixed contract charges, peak surcharges, GST/tax, and solar credits.</w:t>
      </w:r>
    </w:p>
    <w:p>
      <w:pPr>
        <w:spacing w:before="40" w:after="60"/>
      </w:pPr>
      <w:r>
        <w:rPr>
          <w:b/>
          <w:color w:val="0D9488"/>
        </w:rPr>
        <w:t xml:space="preserve">• FR-09: Metrology &amp; Power Quality Analytics: </w:t>
      </w:r>
      <w:r>
        <w:rPr>
          <w:sz w:val="21"/>
        </w:rPr>
        <w:t>The system shall provide analytical visualizations of power factor performance, reactive power consumption, and harmonic distortion.</w:t>
      </w:r>
    </w:p>
    <w:p>
      <w:pPr>
        <w:spacing w:before="40" w:after="60"/>
      </w:pPr>
      <w:r>
        <w:rPr>
          <w:b/>
          <w:color w:val="0D9488"/>
        </w:rPr>
        <w:t xml:space="preserve">• FR-10: Predictive Demand Load Forecasting: </w:t>
      </w:r>
      <w:r>
        <w:rPr>
          <w:sz w:val="21"/>
        </w:rPr>
        <w:t>The system shall compute load projections over 1, 3, 7, and 14-day horizons using historical telemetry regression models.</w:t>
      </w:r>
    </w:p>
    <w:p>
      <w:pPr>
        <w:spacing w:before="40" w:after="60"/>
      </w:pPr>
      <w:r>
        <w:rPr>
          <w:b/>
          <w:color w:val="0D9488"/>
        </w:rPr>
        <w:t xml:space="preserve">• FR-11: Threshold-Driven Anomaly Alerting: </w:t>
      </w:r>
      <w:r>
        <w:rPr>
          <w:sz w:val="21"/>
        </w:rPr>
        <w:t>The system shall detect abnormal parameters (over-voltage, low PF, overload) and support acknowledgment and resolution workflows.</w:t>
      </w:r>
    </w:p>
    <w:p>
      <w:pPr>
        <w:spacing w:before="40" w:after="60"/>
      </w:pPr>
      <w:r>
        <w:rPr>
          <w:b/>
          <w:color w:val="0D9488"/>
        </w:rPr>
        <w:t xml:space="preserve">• FR-12: Regulatory Compliance &amp; CSV Export: </w:t>
      </w:r>
      <w:r>
        <w:rPr>
          <w:sz w:val="21"/>
        </w:rPr>
        <w:t>The system shall generate on-demand downloadable CSV reports for telemetry, utility billing, and facility inventory logs.</w:t>
      </w:r>
    </w:p>
    <w:p>
      <w:pPr>
        <w:keepNext/>
        <w:spacing w:before="280" w:after="120"/>
      </w:pPr>
      <w:r>
        <w:rPr>
          <w:rFonts w:ascii="Calibri" w:hAnsi="Calibri"/>
          <w:b/>
          <w:color w:val="0D9488"/>
          <w:sz w:val="27"/>
        </w:rPr>
        <w:t>3.3 Non-Functional Requirements (NFR-01 to NFR-08)</w:t>
      </w:r>
    </w:p>
    <w:p>
      <w:pPr>
        <w:spacing w:before="40" w:after="60"/>
      </w:pPr>
      <w:r>
        <w:rPr>
          <w:b/>
          <w:color w:val="064E3B"/>
        </w:rPr>
        <w:t xml:space="preserve">• NFR-01: Performance &amp; Response Latency: </w:t>
      </w:r>
      <w:r>
        <w:rPr>
          <w:sz w:val="21"/>
        </w:rPr>
        <w:t>API endpoints shall deliver query responses within 100 milliseconds for standard analytical queries under local development benchmarks.</w:t>
      </w:r>
    </w:p>
    <w:p>
      <w:pPr>
        <w:spacing w:before="40" w:after="60"/>
      </w:pPr>
      <w:r>
        <w:rPr>
          <w:b/>
          <w:color w:val="064E3B"/>
        </w:rPr>
        <w:t xml:space="preserve">• NFR-02: Non-Blocking UI Responsiveness: </w:t>
      </w:r>
      <w:r>
        <w:rPr>
          <w:sz w:val="21"/>
        </w:rPr>
        <w:t>The frontend application shall render immediate layout shells and execute asynchronous parallel API requests without blocking navigation.</w:t>
      </w:r>
    </w:p>
    <w:p>
      <w:pPr>
        <w:spacing w:before="40" w:after="60"/>
      </w:pPr>
      <w:r>
        <w:rPr>
          <w:b/>
          <w:color w:val="064E3B"/>
        </w:rPr>
        <w:t xml:space="preserve">• NFR-03: Relational Data Integrity: </w:t>
      </w:r>
      <w:r>
        <w:rPr>
          <w:sz w:val="21"/>
        </w:rPr>
        <w:t>All telemetry, billing, and facility models shall enforce foreign key referential integrity with cascade constraints and ACID compliance.</w:t>
      </w:r>
    </w:p>
    <w:p>
      <w:pPr>
        <w:spacing w:before="40" w:after="60"/>
      </w:pPr>
      <w:r>
        <w:rPr>
          <w:b/>
          <w:color w:val="064E3B"/>
        </w:rPr>
        <w:t xml:space="preserve">• NFR-04: Security &amp; Token Expiry: </w:t>
      </w:r>
      <w:r>
        <w:rPr>
          <w:sz w:val="21"/>
        </w:rPr>
        <w:t>All private endpoints shall require valid Bearer JWT tokens in the HTTP Authorization header. Passwords shall be hashed using PBKDF2 with SHA-256.</w:t>
      </w:r>
    </w:p>
    <w:p>
      <w:pPr>
        <w:spacing w:before="40" w:after="60"/>
      </w:pPr>
      <w:r>
        <w:rPr>
          <w:b/>
          <w:color w:val="064E3B"/>
        </w:rPr>
        <w:t xml:space="preserve">• NFR-05: Maintainability &amp; Modularity: </w:t>
      </w:r>
      <w:r>
        <w:rPr>
          <w:sz w:val="21"/>
        </w:rPr>
        <w:t>The backend codebase shall maintain strict separation of concerns across 7 decoupled Django apps, complying with PEP 8 standards.</w:t>
      </w:r>
    </w:p>
    <w:p>
      <w:pPr>
        <w:spacing w:before="40" w:after="60"/>
      </w:pPr>
      <w:r>
        <w:rPr>
          <w:b/>
          <w:color w:val="064E3B"/>
        </w:rPr>
        <w:t xml:space="preserve">• NFR-06: Cross-Browser Compatibility: </w:t>
      </w:r>
      <w:r>
        <w:rPr>
          <w:sz w:val="21"/>
        </w:rPr>
        <w:t>The React single-page application shall render consistently across Google Chrome, Mozilla Firefox, Microsoft Edge, and Safari.</w:t>
      </w:r>
    </w:p>
    <w:p>
      <w:pPr>
        <w:spacing w:before="40" w:after="60"/>
      </w:pPr>
      <w:r>
        <w:rPr>
          <w:b/>
          <w:color w:val="064E3B"/>
        </w:rPr>
        <w:t xml:space="preserve">• NFR-07: Design System Fidelity: </w:t>
      </w:r>
      <w:r>
        <w:rPr>
          <w:sz w:val="21"/>
        </w:rPr>
        <w:t>The user interface shall strictly adhere to the approved Stitch design specifications in typography, color tokens, and layout spacing.</w:t>
      </w:r>
    </w:p>
    <w:p>
      <w:pPr>
        <w:spacing w:before="40" w:after="60"/>
      </w:pPr>
      <w:r>
        <w:rPr>
          <w:b/>
          <w:color w:val="064E3B"/>
        </w:rPr>
        <w:t xml:space="preserve">• NFR-08: Scalability: </w:t>
      </w:r>
      <w:r>
        <w:rPr>
          <w:sz w:val="21"/>
        </w:rPr>
        <w:t>The architectural design shall support migration from SQLite to distributed time-series datastores (e.g., PostgreSQL with TimescaleDB) without altering API schemas.</w:t>
      </w:r>
    </w:p>
    <w:p>
      <w:pPr>
        <w:keepNext/>
        <w:spacing w:before="280" w:after="120"/>
      </w:pPr>
      <w:r>
        <w:rPr>
          <w:rFonts w:ascii="Calibri" w:hAnsi="Calibri"/>
          <w:b/>
          <w:color w:val="0D9488"/>
          <w:sz w:val="27"/>
        </w:rPr>
        <w:t>3.4 Hardware and Software Environment Specifications</w:t>
      </w:r>
    </w:p>
    <w:p>
      <w:r>
        <w:t>Table 3.1 and Table 3.2 itemize the target hardware infrastructure and software libraries utilized.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68"/>
        <w:gridCol w:w="6192"/>
      </w:tblGrid>
      <w:tr>
        <w:tc>
          <w:tcPr>
            <w:tcW w:type="dxa" w:w="4680"/>
            <w:shd w:fill="064E3B"/>
            <w:tcMar>
              <w:top w:w="120" w:type="dxa"/>
              <w:bottom w:w="120" w:type="dxa"/>
              <w:left w:w="140" w:type="dxa"/>
              <w:right w:w="140" w:type="dxa"/>
            </w:tcMar>
          </w:tcPr>
          <w:p>
            <w:r>
              <w:rPr>
                <w:b/>
                <w:color w:val="FFFFFF"/>
                <w:sz w:val="19"/>
              </w:rPr>
              <w:t>Hardware Component</w:t>
            </w:r>
          </w:p>
        </w:tc>
        <w:tc>
          <w:tcPr>
            <w:tcW w:type="dxa" w:w="4680"/>
            <w:shd w:fill="064E3B"/>
            <w:tcMar>
              <w:top w:w="120" w:type="dxa"/>
              <w:bottom w:w="120" w:type="dxa"/>
              <w:left w:w="140" w:type="dxa"/>
              <w:right w:w="140" w:type="dxa"/>
            </w:tcMar>
          </w:tcPr>
          <w:p>
            <w:r>
              <w:rPr>
                <w:b/>
                <w:color w:val="FFFFFF"/>
                <w:sz w:val="19"/>
              </w:rPr>
              <w:t>Minimum Engineering Specification</w:t>
            </w:r>
          </w:p>
        </w:tc>
      </w:tr>
      <w:tr>
        <w:tc>
          <w:tcPr>
            <w:tcW w:type="dxa" w:w="4680"/>
            <w:shd w:fill="FFFFFF"/>
            <w:tcMar>
              <w:top w:w="90" w:type="dxa"/>
              <w:bottom w:w="90" w:type="dxa"/>
              <w:left w:w="120" w:type="dxa"/>
              <w:right w:w="120" w:type="dxa"/>
            </w:tcMar>
          </w:tcPr>
          <w:p>
            <w:r>
              <w:rPr>
                <w:b/>
                <w:sz w:val="18"/>
              </w:rPr>
              <w:t>Processor / CPU</w:t>
            </w:r>
          </w:p>
        </w:tc>
        <w:tc>
          <w:tcPr>
            <w:tcW w:type="dxa" w:w="4680"/>
            <w:shd w:fill="FFFFFF"/>
            <w:tcMar>
              <w:top w:w="90" w:type="dxa"/>
              <w:bottom w:w="90" w:type="dxa"/>
              <w:left w:w="120" w:type="dxa"/>
              <w:right w:w="120" w:type="dxa"/>
            </w:tcMar>
          </w:tcPr>
          <w:p>
            <w:r>
              <w:rPr>
                <w:sz w:val="18"/>
              </w:rPr>
              <w:t>Intel Core i5 / i7 / AMD Ryzen 5 or higher (minimum 4 cores, 2.4 GHz)</w:t>
            </w:r>
          </w:p>
        </w:tc>
      </w:tr>
      <w:tr>
        <w:tc>
          <w:tcPr>
            <w:tcW w:type="dxa" w:w="4680"/>
            <w:shd w:fill="F8FAFC"/>
            <w:tcMar>
              <w:top w:w="90" w:type="dxa"/>
              <w:bottom w:w="90" w:type="dxa"/>
              <w:left w:w="120" w:type="dxa"/>
              <w:right w:w="120" w:type="dxa"/>
            </w:tcMar>
          </w:tcPr>
          <w:p>
            <w:r>
              <w:rPr>
                <w:b/>
                <w:sz w:val="18"/>
              </w:rPr>
              <w:t>System Memory (RAM)</w:t>
            </w:r>
          </w:p>
        </w:tc>
        <w:tc>
          <w:tcPr>
            <w:tcW w:type="dxa" w:w="4680"/>
            <w:shd w:fill="F8FAFC"/>
            <w:tcMar>
              <w:top w:w="90" w:type="dxa"/>
              <w:bottom w:w="90" w:type="dxa"/>
              <w:left w:w="120" w:type="dxa"/>
              <w:right w:w="120" w:type="dxa"/>
            </w:tcMar>
          </w:tcPr>
          <w:p>
            <w:r>
              <w:rPr>
                <w:sz w:val="18"/>
              </w:rPr>
              <w:t>8 GB DDR4 minimum (16 GB recommended for telemetry emulation)</w:t>
            </w:r>
          </w:p>
        </w:tc>
      </w:tr>
      <w:tr>
        <w:tc>
          <w:tcPr>
            <w:tcW w:type="dxa" w:w="4680"/>
            <w:shd w:fill="FFFFFF"/>
            <w:tcMar>
              <w:top w:w="90" w:type="dxa"/>
              <w:bottom w:w="90" w:type="dxa"/>
              <w:left w:w="120" w:type="dxa"/>
              <w:right w:w="120" w:type="dxa"/>
            </w:tcMar>
          </w:tcPr>
          <w:p>
            <w:r>
              <w:rPr>
                <w:b/>
                <w:sz w:val="18"/>
              </w:rPr>
              <w:t>Persistent Storage</w:t>
            </w:r>
          </w:p>
        </w:tc>
        <w:tc>
          <w:tcPr>
            <w:tcW w:type="dxa" w:w="4680"/>
            <w:shd w:fill="FFFFFF"/>
            <w:tcMar>
              <w:top w:w="90" w:type="dxa"/>
              <w:bottom w:w="90" w:type="dxa"/>
              <w:left w:w="120" w:type="dxa"/>
              <w:right w:w="120" w:type="dxa"/>
            </w:tcMar>
          </w:tcPr>
          <w:p>
            <w:r>
              <w:rPr>
                <w:sz w:val="18"/>
              </w:rPr>
              <w:t>512 GB Solid State Drive (SSD) with &gt;10 GB free space for database</w:t>
            </w:r>
          </w:p>
        </w:tc>
      </w:tr>
      <w:tr>
        <w:tc>
          <w:tcPr>
            <w:tcW w:type="dxa" w:w="4680"/>
            <w:shd w:fill="F8FAFC"/>
            <w:tcMar>
              <w:top w:w="90" w:type="dxa"/>
              <w:bottom w:w="90" w:type="dxa"/>
              <w:left w:w="120" w:type="dxa"/>
              <w:right w:w="120" w:type="dxa"/>
            </w:tcMar>
          </w:tcPr>
          <w:p>
            <w:r>
              <w:rPr>
                <w:b/>
                <w:sz w:val="18"/>
              </w:rPr>
              <w:t>Network Interface</w:t>
            </w:r>
          </w:p>
        </w:tc>
        <w:tc>
          <w:tcPr>
            <w:tcW w:type="dxa" w:w="4680"/>
            <w:shd w:fill="F8FAFC"/>
            <w:tcMar>
              <w:top w:w="90" w:type="dxa"/>
              <w:bottom w:w="90" w:type="dxa"/>
              <w:left w:w="120" w:type="dxa"/>
              <w:right w:w="120" w:type="dxa"/>
            </w:tcMar>
          </w:tcPr>
          <w:p>
            <w:r>
              <w:rPr>
                <w:sz w:val="18"/>
              </w:rPr>
              <w:t>Gigabit Ethernet or 802.11ac Wi-Fi for HTTP REST communication</w:t>
            </w:r>
          </w:p>
        </w:tc>
      </w:tr>
      <w:tr>
        <w:tc>
          <w:tcPr>
            <w:tcW w:type="dxa" w:w="4680"/>
            <w:shd w:fill="FFFFFF"/>
            <w:tcMar>
              <w:top w:w="90" w:type="dxa"/>
              <w:bottom w:w="90" w:type="dxa"/>
              <w:left w:w="120" w:type="dxa"/>
              <w:right w:w="120" w:type="dxa"/>
            </w:tcMar>
          </w:tcPr>
          <w:p>
            <w:r>
              <w:rPr>
                <w:b/>
                <w:sz w:val="18"/>
              </w:rPr>
              <w:t>Client Display</w:t>
            </w:r>
          </w:p>
        </w:tc>
        <w:tc>
          <w:tcPr>
            <w:tcW w:type="dxa" w:w="4680"/>
            <w:shd w:fill="FFFFFF"/>
            <w:tcMar>
              <w:top w:w="90" w:type="dxa"/>
              <w:bottom w:w="90" w:type="dxa"/>
              <w:left w:w="120" w:type="dxa"/>
              <w:right w:w="120" w:type="dxa"/>
            </w:tcMar>
          </w:tcPr>
          <w:p>
            <w:r>
              <w:rPr>
                <w:sz w:val="18"/>
              </w:rPr>
              <w:t>1920 x 1080 Full HD resolution monitor for multi-facility dashboarding</w:t>
            </w:r>
          </w:p>
        </w:tc>
      </w:tr>
    </w:tbl>
    <w:p>
      <w:pPr>
        <w:spacing w:before="16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68"/>
        <w:gridCol w:w="6192"/>
      </w:tblGrid>
      <w:tr>
        <w:tc>
          <w:tcPr>
            <w:tcW w:type="dxa" w:w="4680"/>
            <w:shd w:fill="0D9488"/>
            <w:tcMar>
              <w:top w:w="120" w:type="dxa"/>
              <w:bottom w:w="120" w:type="dxa"/>
              <w:left w:w="140" w:type="dxa"/>
              <w:right w:w="140" w:type="dxa"/>
            </w:tcMar>
          </w:tcPr>
          <w:p>
            <w:r>
              <w:rPr>
                <w:b/>
                <w:color w:val="FFFFFF"/>
                <w:sz w:val="19"/>
              </w:rPr>
              <w:t>Software Tier / Layer</w:t>
            </w:r>
          </w:p>
        </w:tc>
        <w:tc>
          <w:tcPr>
            <w:tcW w:type="dxa" w:w="4680"/>
            <w:shd w:fill="0D9488"/>
            <w:tcMar>
              <w:top w:w="120" w:type="dxa"/>
              <w:bottom w:w="120" w:type="dxa"/>
              <w:left w:w="140" w:type="dxa"/>
              <w:right w:w="140" w:type="dxa"/>
            </w:tcMar>
          </w:tcPr>
          <w:p>
            <w:r>
              <w:rPr>
                <w:b/>
                <w:color w:val="FFFFFF"/>
                <w:sz w:val="19"/>
              </w:rPr>
              <w:t>Technology Stack, Library &amp; Approved Version</w:t>
            </w:r>
          </w:p>
        </w:tc>
      </w:tr>
      <w:tr>
        <w:tc>
          <w:tcPr>
            <w:tcW w:type="dxa" w:w="4680"/>
            <w:shd w:fill="FFFFFF"/>
            <w:tcMar>
              <w:top w:w="90" w:type="dxa"/>
              <w:bottom w:w="90" w:type="dxa"/>
              <w:left w:w="120" w:type="dxa"/>
              <w:right w:w="120" w:type="dxa"/>
            </w:tcMar>
          </w:tcPr>
          <w:p>
            <w:r>
              <w:rPr>
                <w:b/>
                <w:sz w:val="18"/>
              </w:rPr>
              <w:t>Operating System</w:t>
            </w:r>
          </w:p>
        </w:tc>
        <w:tc>
          <w:tcPr>
            <w:tcW w:type="dxa" w:w="4680"/>
            <w:shd w:fill="FFFFFF"/>
            <w:tcMar>
              <w:top w:w="90" w:type="dxa"/>
              <w:bottom w:w="90" w:type="dxa"/>
              <w:left w:w="120" w:type="dxa"/>
              <w:right w:w="120" w:type="dxa"/>
            </w:tcMar>
          </w:tcPr>
          <w:p>
            <w:r>
              <w:rPr>
                <w:sz w:val="18"/>
              </w:rPr>
              <w:t>Microsoft Windows 11 / Linux Ubuntu 22.04 LTS</w:t>
            </w:r>
          </w:p>
        </w:tc>
      </w:tr>
      <w:tr>
        <w:tc>
          <w:tcPr>
            <w:tcW w:type="dxa" w:w="4680"/>
            <w:shd w:fill="F8FAFC"/>
            <w:tcMar>
              <w:top w:w="90" w:type="dxa"/>
              <w:bottom w:w="90" w:type="dxa"/>
              <w:left w:w="120" w:type="dxa"/>
              <w:right w:w="120" w:type="dxa"/>
            </w:tcMar>
          </w:tcPr>
          <w:p>
            <w:r>
              <w:rPr>
                <w:b/>
                <w:sz w:val="18"/>
              </w:rPr>
              <w:t>Backend Runtime</w:t>
            </w:r>
          </w:p>
        </w:tc>
        <w:tc>
          <w:tcPr>
            <w:tcW w:type="dxa" w:w="4680"/>
            <w:shd w:fill="F8FAFC"/>
            <w:tcMar>
              <w:top w:w="90" w:type="dxa"/>
              <w:bottom w:w="90" w:type="dxa"/>
              <w:left w:w="120" w:type="dxa"/>
              <w:right w:w="120" w:type="dxa"/>
            </w:tcMar>
          </w:tcPr>
          <w:p>
            <w:r>
              <w:rPr>
                <w:sz w:val="18"/>
              </w:rPr>
              <w:t>Python 3.13.x Environment</w:t>
            </w:r>
          </w:p>
        </w:tc>
      </w:tr>
      <w:tr>
        <w:tc>
          <w:tcPr>
            <w:tcW w:type="dxa" w:w="4680"/>
            <w:shd w:fill="FFFFFF"/>
            <w:tcMar>
              <w:top w:w="90" w:type="dxa"/>
              <w:bottom w:w="90" w:type="dxa"/>
              <w:left w:w="120" w:type="dxa"/>
              <w:right w:w="120" w:type="dxa"/>
            </w:tcMar>
          </w:tcPr>
          <w:p>
            <w:r>
              <w:rPr>
                <w:b/>
                <w:sz w:val="18"/>
              </w:rPr>
              <w:t>Web Framework</w:t>
            </w:r>
          </w:p>
        </w:tc>
        <w:tc>
          <w:tcPr>
            <w:tcW w:type="dxa" w:w="4680"/>
            <w:shd w:fill="FFFFFF"/>
            <w:tcMar>
              <w:top w:w="90" w:type="dxa"/>
              <w:bottom w:w="90" w:type="dxa"/>
              <w:left w:w="120" w:type="dxa"/>
              <w:right w:w="120" w:type="dxa"/>
            </w:tcMar>
          </w:tcPr>
          <w:p>
            <w:r>
              <w:rPr>
                <w:sz w:val="18"/>
              </w:rPr>
              <w:t>Django 4.2.16 LTS &amp; Django REST Framework 3.14.0</w:t>
            </w:r>
          </w:p>
        </w:tc>
      </w:tr>
      <w:tr>
        <w:tc>
          <w:tcPr>
            <w:tcW w:type="dxa" w:w="4680"/>
            <w:shd w:fill="F8FAFC"/>
            <w:tcMar>
              <w:top w:w="90" w:type="dxa"/>
              <w:bottom w:w="90" w:type="dxa"/>
              <w:left w:w="120" w:type="dxa"/>
              <w:right w:w="120" w:type="dxa"/>
            </w:tcMar>
          </w:tcPr>
          <w:p>
            <w:r>
              <w:rPr>
                <w:b/>
                <w:sz w:val="18"/>
              </w:rPr>
              <w:t>Authentication Protocol</w:t>
            </w:r>
          </w:p>
        </w:tc>
        <w:tc>
          <w:tcPr>
            <w:tcW w:type="dxa" w:w="4680"/>
            <w:shd w:fill="F8FAFC"/>
            <w:tcMar>
              <w:top w:w="90" w:type="dxa"/>
              <w:bottom w:w="90" w:type="dxa"/>
              <w:left w:w="120" w:type="dxa"/>
              <w:right w:w="120" w:type="dxa"/>
            </w:tcMar>
          </w:tcPr>
          <w:p>
            <w:r>
              <w:rPr>
                <w:sz w:val="18"/>
              </w:rPr>
              <w:t>SimpleJWT 5.3.1 (JSON Web Tokens)</w:t>
            </w:r>
          </w:p>
        </w:tc>
      </w:tr>
      <w:tr>
        <w:tc>
          <w:tcPr>
            <w:tcW w:type="dxa" w:w="4680"/>
            <w:shd w:fill="FFFFFF"/>
            <w:tcMar>
              <w:top w:w="90" w:type="dxa"/>
              <w:bottom w:w="90" w:type="dxa"/>
              <w:left w:w="120" w:type="dxa"/>
              <w:right w:w="120" w:type="dxa"/>
            </w:tcMar>
          </w:tcPr>
          <w:p>
            <w:r>
              <w:rPr>
                <w:b/>
                <w:sz w:val="18"/>
              </w:rPr>
              <w:t>Data Science / Analytics</w:t>
            </w:r>
          </w:p>
        </w:tc>
        <w:tc>
          <w:tcPr>
            <w:tcW w:type="dxa" w:w="4680"/>
            <w:shd w:fill="FFFFFF"/>
            <w:tcMar>
              <w:top w:w="90" w:type="dxa"/>
              <w:bottom w:w="90" w:type="dxa"/>
              <w:left w:w="120" w:type="dxa"/>
              <w:right w:w="120" w:type="dxa"/>
            </w:tcMar>
          </w:tcPr>
          <w:p>
            <w:r>
              <w:rPr>
                <w:sz w:val="18"/>
              </w:rPr>
              <w:t>Scikit-learn 1.4.x, Pandas 2.2.x, NumPy 1.26.x</w:t>
            </w:r>
          </w:p>
        </w:tc>
      </w:tr>
      <w:tr>
        <w:tc>
          <w:tcPr>
            <w:tcW w:type="dxa" w:w="4680"/>
            <w:shd w:fill="F8FAFC"/>
            <w:tcMar>
              <w:top w:w="90" w:type="dxa"/>
              <w:bottom w:w="90" w:type="dxa"/>
              <w:left w:w="120" w:type="dxa"/>
              <w:right w:w="120" w:type="dxa"/>
            </w:tcMar>
          </w:tcPr>
          <w:p>
            <w:r>
              <w:rPr>
                <w:b/>
                <w:sz w:val="18"/>
              </w:rPr>
              <w:t>Background Task Runner</w:t>
            </w:r>
          </w:p>
        </w:tc>
        <w:tc>
          <w:tcPr>
            <w:tcW w:type="dxa" w:w="4680"/>
            <w:shd w:fill="F8FAFC"/>
            <w:tcMar>
              <w:top w:w="90" w:type="dxa"/>
              <w:bottom w:w="90" w:type="dxa"/>
              <w:left w:w="120" w:type="dxa"/>
              <w:right w:w="120" w:type="dxa"/>
            </w:tcMar>
          </w:tcPr>
          <w:p>
            <w:r>
              <w:rPr>
                <w:sz w:val="18"/>
              </w:rPr>
              <w:t>APScheduler 3.10.4</w:t>
            </w:r>
          </w:p>
        </w:tc>
      </w:tr>
      <w:tr>
        <w:tc>
          <w:tcPr>
            <w:tcW w:type="dxa" w:w="4680"/>
            <w:shd w:fill="FFFFFF"/>
            <w:tcMar>
              <w:top w:w="90" w:type="dxa"/>
              <w:bottom w:w="90" w:type="dxa"/>
              <w:left w:w="120" w:type="dxa"/>
              <w:right w:w="120" w:type="dxa"/>
            </w:tcMar>
          </w:tcPr>
          <w:p>
            <w:r>
              <w:rPr>
                <w:b/>
                <w:sz w:val="18"/>
              </w:rPr>
              <w:t>Relational Database</w:t>
            </w:r>
          </w:p>
        </w:tc>
        <w:tc>
          <w:tcPr>
            <w:tcW w:type="dxa" w:w="4680"/>
            <w:shd w:fill="FFFFFF"/>
            <w:tcMar>
              <w:top w:w="90" w:type="dxa"/>
              <w:bottom w:w="90" w:type="dxa"/>
              <w:left w:w="120" w:type="dxa"/>
              <w:right w:w="120" w:type="dxa"/>
            </w:tcMar>
          </w:tcPr>
          <w:p>
            <w:r>
              <w:rPr>
                <w:sz w:val="18"/>
              </w:rPr>
              <w:t>SQLite 3 (Development &amp; Local Demonstration Engine)</w:t>
            </w:r>
          </w:p>
        </w:tc>
      </w:tr>
      <w:tr>
        <w:tc>
          <w:tcPr>
            <w:tcW w:type="dxa" w:w="4680"/>
            <w:shd w:fill="F8FAFC"/>
            <w:tcMar>
              <w:top w:w="90" w:type="dxa"/>
              <w:bottom w:w="90" w:type="dxa"/>
              <w:left w:w="120" w:type="dxa"/>
              <w:right w:w="120" w:type="dxa"/>
            </w:tcMar>
          </w:tcPr>
          <w:p>
            <w:r>
              <w:rPr>
                <w:b/>
                <w:sz w:val="18"/>
              </w:rPr>
              <w:t>Frontend Runtime &amp; Build</w:t>
            </w:r>
          </w:p>
        </w:tc>
        <w:tc>
          <w:tcPr>
            <w:tcW w:type="dxa" w:w="4680"/>
            <w:shd w:fill="F8FAFC"/>
            <w:tcMar>
              <w:top w:w="90" w:type="dxa"/>
              <w:bottom w:w="90" w:type="dxa"/>
              <w:left w:w="120" w:type="dxa"/>
              <w:right w:w="120" w:type="dxa"/>
            </w:tcMar>
          </w:tcPr>
          <w:p>
            <w:r>
              <w:rPr>
                <w:sz w:val="18"/>
              </w:rPr>
              <w:t>Node.js 20.x, Vite 5.x</w:t>
            </w:r>
          </w:p>
        </w:tc>
      </w:tr>
      <w:tr>
        <w:tc>
          <w:tcPr>
            <w:tcW w:type="dxa" w:w="4680"/>
            <w:shd w:fill="FFFFFF"/>
            <w:tcMar>
              <w:top w:w="90" w:type="dxa"/>
              <w:bottom w:w="90" w:type="dxa"/>
              <w:left w:w="120" w:type="dxa"/>
              <w:right w:w="120" w:type="dxa"/>
            </w:tcMar>
          </w:tcPr>
          <w:p>
            <w:r>
              <w:rPr>
                <w:b/>
                <w:sz w:val="18"/>
              </w:rPr>
              <w:t>UI Library &amp; Framework</w:t>
            </w:r>
          </w:p>
        </w:tc>
        <w:tc>
          <w:tcPr>
            <w:tcW w:type="dxa" w:w="4680"/>
            <w:shd w:fill="FFFFFF"/>
            <w:tcMar>
              <w:top w:w="90" w:type="dxa"/>
              <w:bottom w:w="90" w:type="dxa"/>
              <w:left w:w="120" w:type="dxa"/>
              <w:right w:w="120" w:type="dxa"/>
            </w:tcMar>
          </w:tcPr>
          <w:p>
            <w:r>
              <w:rPr>
                <w:sz w:val="18"/>
              </w:rPr>
              <w:t>React 18.x, Tailwind CSS 3.4.x</w:t>
            </w:r>
          </w:p>
        </w:tc>
      </w:tr>
      <w:tr>
        <w:tc>
          <w:tcPr>
            <w:tcW w:type="dxa" w:w="4680"/>
            <w:shd w:fill="F8FAFC"/>
            <w:tcMar>
              <w:top w:w="90" w:type="dxa"/>
              <w:bottom w:w="90" w:type="dxa"/>
              <w:left w:w="120" w:type="dxa"/>
              <w:right w:w="120" w:type="dxa"/>
            </w:tcMar>
          </w:tcPr>
          <w:p>
            <w:r>
              <w:rPr>
                <w:b/>
                <w:sz w:val="18"/>
              </w:rPr>
              <w:t>Data Visualization</w:t>
            </w:r>
          </w:p>
        </w:tc>
        <w:tc>
          <w:tcPr>
            <w:tcW w:type="dxa" w:w="4680"/>
            <w:shd w:fill="F8FAFC"/>
            <w:tcMar>
              <w:top w:w="90" w:type="dxa"/>
              <w:bottom w:w="90" w:type="dxa"/>
              <w:left w:w="120" w:type="dxa"/>
              <w:right w:w="120" w:type="dxa"/>
            </w:tcMar>
          </w:tcPr>
          <w:p>
            <w:r>
              <w:rPr>
                <w:sz w:val="18"/>
              </w:rPr>
              <w:t>Recharts 2.12.x Interactive SVG Charting Engine</w:t>
            </w:r>
          </w:p>
        </w:tc>
      </w:tr>
      <w:tr>
        <w:tc>
          <w:tcPr>
            <w:tcW w:type="dxa" w:w="4680"/>
            <w:shd w:fill="FFFFFF"/>
            <w:tcMar>
              <w:top w:w="90" w:type="dxa"/>
              <w:bottom w:w="90" w:type="dxa"/>
              <w:left w:w="120" w:type="dxa"/>
              <w:right w:w="120" w:type="dxa"/>
            </w:tcMar>
          </w:tcPr>
          <w:p>
            <w:r>
              <w:rPr>
                <w:b/>
                <w:sz w:val="18"/>
              </w:rPr>
              <w:t>HTTP Client</w:t>
            </w:r>
          </w:p>
        </w:tc>
        <w:tc>
          <w:tcPr>
            <w:tcW w:type="dxa" w:w="4680"/>
            <w:shd w:fill="FFFFFF"/>
            <w:tcMar>
              <w:top w:w="90" w:type="dxa"/>
              <w:bottom w:w="90" w:type="dxa"/>
              <w:left w:w="120" w:type="dxa"/>
              <w:right w:w="120" w:type="dxa"/>
            </w:tcMar>
          </w:tcPr>
          <w:p>
            <w:r>
              <w:rPr>
                <w:sz w:val="18"/>
              </w:rPr>
              <w:t>Axios 1.6.x with Bearer Token Interceptors</w:t>
            </w:r>
          </w:p>
        </w:tc>
      </w:tr>
    </w:tbl>
    <w:p>
      <w:r>
        <w:br w:type="page"/>
      </w:r>
    </w:p>
    <w:p>
      <w:pPr>
        <w:keepNext/>
        <w:spacing w:before="360" w:after="160"/>
      </w:pPr>
      <w:r>
        <w:rPr>
          <w:rFonts w:ascii="Calibri" w:hAnsi="Calibri"/>
          <w:b/>
          <w:color w:val="064E3B"/>
          <w:sz w:val="34"/>
        </w:rPr>
        <w:t>CHAPTER 4: SYSTEM ARCHITECTURE &amp; DESIGN</w:t>
      </w:r>
    </w:p>
    <w:p>
      <w:pPr>
        <w:keepNext/>
        <w:spacing w:before="280" w:after="120"/>
      </w:pPr>
      <w:r>
        <w:rPr>
          <w:rFonts w:ascii="Calibri" w:hAnsi="Calibri"/>
          <w:b/>
          <w:color w:val="0D9488"/>
          <w:sz w:val="27"/>
        </w:rPr>
        <w:t>4.1 Three-Tier Decoupled System Architecture</w:t>
      </w:r>
    </w:p>
    <w:p>
      <w:r>
        <w:t>GreenGrid adheres to an enterprise three-tier decoupled architectural pattern. This pattern guarantees strict separation between client rendering, application business rules, and persistent storage, promoting independent scalability and seamless code maintainability.</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0D9488"/>
              <w:bottom w:val="none"/>
              <w:right w:val="none"/>
            </w:tcBorders>
          </w:tcPr>
          <w:p>
            <w:pPr>
              <w:spacing w:before="40" w:after="40" w:line="276" w:lineRule="auto"/>
            </w:pPr>
            <w:r>
              <w:rPr>
                <w:rFonts w:ascii="Calibri" w:hAnsi="Calibri"/>
                <w:b/>
                <w:color w:val="064E3B"/>
                <w:sz w:val="21"/>
              </w:rPr>
              <w:t>ARCHITECTURAL TIER SPECIFICATION</w:t>
              <w:br/>
            </w:r>
            <w:r>
              <w:rPr>
                <w:rFonts w:ascii="Calibri" w:hAnsi="Calibri"/>
                <w:color w:val="1E293B"/>
                <w:sz w:val="20"/>
              </w:rPr>
              <w:t>1. Presentation Tier (Client Frontend):</w:t>
              <w:br/>
              <w:t xml:space="preserve">   - Implemented as a Single Page Application (SPA) powered by React 18 and Vite.</w:t>
              <w:br/>
              <w:t xml:space="preserve">   - Utilizes Tailwind CSS for utility-first responsive styling and Recharts for GPU-accelerated SVG metrology.</w:t>
              <w:br/>
              <w:t xml:space="preserve">   - Implements a Fast Page Shell design pattern that instantly mounts navigation headers and sidebars.</w:t>
              <w:br/>
              <w:t xml:space="preserve">   - Dispatches parallel non-blocking Axios requests to backend REST endpoints.</w:t>
              <w:br/>
              <w:br/>
              <w:t>2. Application / Business Logic Tier (Django REST Framework):</w:t>
              <w:br/>
              <w:t xml:space="preserve">   - Exposes clean, stateless RESTful JSON endpoints under the /api/v1/ namespace.</w:t>
              <w:br/>
              <w:t xml:space="preserve">   - Encapsulates modular domain applications: accounts, facilities, energy, billing, renewable, alerts, reports.</w:t>
              <w:br/>
              <w:t xml:space="preserve">   - Orchestrates JWT token verification, multi-tier tariff calculations, and Scikit-learn predictive forecasting.</w:t>
              <w:br/>
              <w:t xml:space="preserve">   - Hosts the APScheduler background daemon for periodic telemetry polling and daily energy aggregation.</w:t>
              <w:br/>
              <w:br/>
              <w:t>3. Data Persistence Tier (Relational Storage):</w:t>
              <w:br/>
              <w:t xml:space="preserve">   - SQLite 3 relational database utilizing Django's Object-Relational Mapping (ORM) layer.</w:t>
              <w:br/>
              <w:t xml:space="preserve">   - Enforces referential integrity, indexed foreign keys, and multi-facility data isolation.</w:t>
            </w:r>
          </w:p>
        </w:tc>
      </w:tr>
    </w:tbl>
    <w:p>
      <w:pPr>
        <w:spacing w:before="0" w:after="80"/>
      </w:pPr>
    </w:p>
    <w:p>
      <w:pPr>
        <w:keepNext/>
        <w:spacing w:before="280" w:after="120"/>
      </w:pPr>
      <w:r>
        <w:rPr>
          <w:rFonts w:ascii="Calibri" w:hAnsi="Calibri"/>
          <w:b/>
          <w:color w:val="0D9488"/>
          <w:sz w:val="27"/>
        </w:rPr>
        <w:t>4.2 Component Interaction &amp; Communication Protocols</w:t>
      </w:r>
    </w:p>
    <w:p>
      <w:r>
        <w:t>The interaction workflow between tiers follows standard HTTP/1.1 REST conventions over JSON. Upon launching the application, the user authenticates via /api/v1/auth/token/, receiving a 60-minute JWT Access Token and a 7-day Refresh Token. Subsequent requests inject the token into the HTTP Authorization: Bearer &lt;token&gt; header. Axios interceptors manage token attachment and handle graceful degradation in case of connectivity disruptions.</w:t>
      </w:r>
    </w:p>
    <w:p>
      <w:pPr>
        <w:keepNext/>
        <w:spacing w:before="280" w:after="120"/>
      </w:pPr>
      <w:r>
        <w:rPr>
          <w:rFonts w:ascii="Calibri" w:hAnsi="Calibri"/>
          <w:b/>
          <w:color w:val="0D9488"/>
          <w:sz w:val="27"/>
        </w:rPr>
        <w:t>4.3 Comprehensive Database Schema &amp; Entity-Relationship Model</w:t>
      </w:r>
    </w:p>
    <w:p>
      <w:r>
        <w:t>The GreenGrid database comprises 12 distinct relational models distributed across 7 decoupled Django apps. Table 4.1 outlines the complete relational data model inventory, fields, primary/foreign keys, and data types.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92"/>
        <w:gridCol w:w="2160"/>
        <w:gridCol w:w="4608"/>
      </w:tblGrid>
      <w:tr>
        <w:tc>
          <w:tcPr>
            <w:tcW w:type="dxa" w:w="3120"/>
            <w:shd w:fill="064E3B"/>
            <w:tcMar>
              <w:top w:w="120" w:type="dxa"/>
              <w:bottom w:w="120" w:type="dxa"/>
              <w:left w:w="120" w:type="dxa"/>
              <w:right w:w="120" w:type="dxa"/>
            </w:tcMar>
          </w:tcPr>
          <w:p>
            <w:r>
              <w:rPr>
                <w:b/>
                <w:color w:val="FFFFFF"/>
                <w:sz w:val="19"/>
              </w:rPr>
              <w:t>Table Name</w:t>
            </w:r>
          </w:p>
        </w:tc>
        <w:tc>
          <w:tcPr>
            <w:tcW w:type="dxa" w:w="3120"/>
            <w:shd w:fill="064E3B"/>
            <w:tcMar>
              <w:top w:w="120" w:type="dxa"/>
              <w:bottom w:w="120" w:type="dxa"/>
              <w:left w:w="120" w:type="dxa"/>
              <w:right w:w="120" w:type="dxa"/>
            </w:tcMar>
          </w:tcPr>
          <w:p>
            <w:r>
              <w:rPr>
                <w:b/>
                <w:color w:val="FFFFFF"/>
                <w:sz w:val="19"/>
              </w:rPr>
              <w:t>Django Model</w:t>
            </w:r>
          </w:p>
        </w:tc>
        <w:tc>
          <w:tcPr>
            <w:tcW w:type="dxa" w:w="3120"/>
            <w:shd w:fill="064E3B"/>
            <w:tcMar>
              <w:top w:w="120" w:type="dxa"/>
              <w:bottom w:w="120" w:type="dxa"/>
              <w:left w:w="120" w:type="dxa"/>
              <w:right w:w="120" w:type="dxa"/>
            </w:tcMar>
          </w:tcPr>
          <w:p>
            <w:r>
              <w:rPr>
                <w:b/>
                <w:color w:val="FFFFFF"/>
                <w:sz w:val="19"/>
              </w:rPr>
              <w:t>Schema Fields &amp; Constraints</w:t>
            </w:r>
          </w:p>
        </w:tc>
      </w:tr>
      <w:tr>
        <w:tc>
          <w:tcPr>
            <w:tcW w:type="dxa" w:w="3120"/>
            <w:shd w:fill="FFFFFF"/>
            <w:tcMar>
              <w:top w:w="80" w:type="dxa"/>
              <w:bottom w:w="80" w:type="dxa"/>
              <w:left w:w="100" w:type="dxa"/>
              <w:right w:w="100" w:type="dxa"/>
            </w:tcMar>
          </w:tcPr>
          <w:p>
            <w:r>
              <w:rPr>
                <w:b/>
                <w:sz w:val="17"/>
              </w:rPr>
              <w:t>accounts_customuser</w:t>
            </w:r>
          </w:p>
        </w:tc>
        <w:tc>
          <w:tcPr>
            <w:tcW w:type="dxa" w:w="3120"/>
            <w:shd w:fill="FFFFFF"/>
            <w:tcMar>
              <w:top w:w="80" w:type="dxa"/>
              <w:bottom w:w="80" w:type="dxa"/>
              <w:left w:w="100" w:type="dxa"/>
              <w:right w:w="100" w:type="dxa"/>
            </w:tcMar>
          </w:tcPr>
          <w:p>
            <w:r>
              <w:rPr>
                <w:sz w:val="17"/>
              </w:rPr>
              <w:t>CustomUser</w:t>
            </w:r>
          </w:p>
        </w:tc>
        <w:tc>
          <w:tcPr>
            <w:tcW w:type="dxa" w:w="3120"/>
            <w:shd w:fill="FFFFFF"/>
            <w:tcMar>
              <w:top w:w="80" w:type="dxa"/>
              <w:bottom w:w="80" w:type="dxa"/>
              <w:left w:w="100" w:type="dxa"/>
              <w:right w:w="100" w:type="dxa"/>
            </w:tcMar>
          </w:tcPr>
          <w:p>
            <w:r>
              <w:rPr>
                <w:sz w:val="17"/>
              </w:rPr>
              <w:t>id (PK, Auto), email (Unique), full_name, phone, role (Admin/Manager/Viewer), department, is_active, is_staff, date_joined</w:t>
            </w:r>
          </w:p>
        </w:tc>
      </w:tr>
      <w:tr>
        <w:tc>
          <w:tcPr>
            <w:tcW w:type="dxa" w:w="3120"/>
            <w:shd w:fill="F8FAFC"/>
            <w:tcMar>
              <w:top w:w="80" w:type="dxa"/>
              <w:bottom w:w="80" w:type="dxa"/>
              <w:left w:w="100" w:type="dxa"/>
              <w:right w:w="100" w:type="dxa"/>
            </w:tcMar>
          </w:tcPr>
          <w:p>
            <w:r>
              <w:rPr>
                <w:b/>
                <w:sz w:val="17"/>
              </w:rPr>
              <w:t>facilities_organization</w:t>
            </w:r>
          </w:p>
        </w:tc>
        <w:tc>
          <w:tcPr>
            <w:tcW w:type="dxa" w:w="3120"/>
            <w:shd w:fill="F8FAFC"/>
            <w:tcMar>
              <w:top w:w="80" w:type="dxa"/>
              <w:bottom w:w="80" w:type="dxa"/>
              <w:left w:w="100" w:type="dxa"/>
              <w:right w:w="100" w:type="dxa"/>
            </w:tcMar>
          </w:tcPr>
          <w:p>
            <w:r>
              <w:rPr>
                <w:sz w:val="17"/>
              </w:rPr>
              <w:t>Organization</w:t>
            </w:r>
          </w:p>
        </w:tc>
        <w:tc>
          <w:tcPr>
            <w:tcW w:type="dxa" w:w="3120"/>
            <w:shd w:fill="F8FAFC"/>
            <w:tcMar>
              <w:top w:w="80" w:type="dxa"/>
              <w:bottom w:w="80" w:type="dxa"/>
              <w:left w:w="100" w:type="dxa"/>
              <w:right w:w="100" w:type="dxa"/>
            </w:tcMar>
          </w:tcPr>
          <w:p>
            <w:r>
              <w:rPr>
                <w:sz w:val="17"/>
              </w:rPr>
              <w:t>id (PK, Auto), name, tenant_id (Unique Slug), address, contact_email, created_at</w:t>
            </w:r>
          </w:p>
        </w:tc>
      </w:tr>
      <w:tr>
        <w:tc>
          <w:tcPr>
            <w:tcW w:type="dxa" w:w="3120"/>
            <w:shd w:fill="FFFFFF"/>
            <w:tcMar>
              <w:top w:w="80" w:type="dxa"/>
              <w:bottom w:w="80" w:type="dxa"/>
              <w:left w:w="100" w:type="dxa"/>
              <w:right w:w="100" w:type="dxa"/>
            </w:tcMar>
          </w:tcPr>
          <w:p>
            <w:r>
              <w:rPr>
                <w:b/>
                <w:sz w:val="17"/>
              </w:rPr>
              <w:t>facilities_facility</w:t>
            </w:r>
          </w:p>
        </w:tc>
        <w:tc>
          <w:tcPr>
            <w:tcW w:type="dxa" w:w="3120"/>
            <w:shd w:fill="FFFFFF"/>
            <w:tcMar>
              <w:top w:w="80" w:type="dxa"/>
              <w:bottom w:w="80" w:type="dxa"/>
              <w:left w:w="100" w:type="dxa"/>
              <w:right w:w="100" w:type="dxa"/>
            </w:tcMar>
          </w:tcPr>
          <w:p>
            <w:r>
              <w:rPr>
                <w:sz w:val="17"/>
              </w:rPr>
              <w:t>Facility</w:t>
            </w:r>
          </w:p>
        </w:tc>
        <w:tc>
          <w:tcPr>
            <w:tcW w:type="dxa" w:w="3120"/>
            <w:shd w:fill="FFFFFF"/>
            <w:tcMar>
              <w:top w:w="80" w:type="dxa"/>
              <w:bottom w:w="80" w:type="dxa"/>
              <w:left w:w="100" w:type="dxa"/>
              <w:right w:w="100" w:type="dxa"/>
            </w:tcMar>
          </w:tcPr>
          <w:p>
            <w:r>
              <w:rPr>
                <w:sz w:val="17"/>
              </w:rPr>
              <w:t>id (PK, Auto), organization_id (FK), name, facility_type (Academic/Hostel/Lab/Admin), area_sqft, floors, latitude, longitude, status, created_at</w:t>
            </w:r>
          </w:p>
        </w:tc>
      </w:tr>
      <w:tr>
        <w:tc>
          <w:tcPr>
            <w:tcW w:type="dxa" w:w="3120"/>
            <w:shd w:fill="F8FAFC"/>
            <w:tcMar>
              <w:top w:w="80" w:type="dxa"/>
              <w:bottom w:w="80" w:type="dxa"/>
              <w:left w:w="100" w:type="dxa"/>
              <w:right w:w="100" w:type="dxa"/>
            </w:tcMar>
          </w:tcPr>
          <w:p>
            <w:r>
              <w:rPr>
                <w:b/>
                <w:sz w:val="17"/>
              </w:rPr>
              <w:t>facilities_smartmeter</w:t>
            </w:r>
          </w:p>
        </w:tc>
        <w:tc>
          <w:tcPr>
            <w:tcW w:type="dxa" w:w="3120"/>
            <w:shd w:fill="F8FAFC"/>
            <w:tcMar>
              <w:top w:w="80" w:type="dxa"/>
              <w:bottom w:w="80" w:type="dxa"/>
              <w:left w:w="100" w:type="dxa"/>
              <w:right w:w="100" w:type="dxa"/>
            </w:tcMar>
          </w:tcPr>
          <w:p>
            <w:r>
              <w:rPr>
                <w:sz w:val="17"/>
              </w:rPr>
              <w:t>SmartMeter</w:t>
            </w:r>
          </w:p>
        </w:tc>
        <w:tc>
          <w:tcPr>
            <w:tcW w:type="dxa" w:w="3120"/>
            <w:shd w:fill="F8FAFC"/>
            <w:tcMar>
              <w:top w:w="80" w:type="dxa"/>
              <w:bottom w:w="80" w:type="dxa"/>
              <w:left w:w="100" w:type="dxa"/>
              <w:right w:w="100" w:type="dxa"/>
            </w:tcMar>
          </w:tcPr>
          <w:p>
            <w:r>
              <w:rPr>
                <w:sz w:val="17"/>
              </w:rPr>
              <w:t>id (PK, Auto), facility_id (FK), meter_id (Unique), meter_type (Main/Submeter/HVAC), make, model, rated_capacity_kw, installed_date, last_calibrated, status, connection_type</w:t>
            </w:r>
          </w:p>
        </w:tc>
      </w:tr>
      <w:tr>
        <w:tc>
          <w:tcPr>
            <w:tcW w:type="dxa" w:w="3120"/>
            <w:shd w:fill="FFFFFF"/>
            <w:tcMar>
              <w:top w:w="80" w:type="dxa"/>
              <w:bottom w:w="80" w:type="dxa"/>
              <w:left w:w="100" w:type="dxa"/>
              <w:right w:w="100" w:type="dxa"/>
            </w:tcMar>
          </w:tcPr>
          <w:p>
            <w:r>
              <w:rPr>
                <w:b/>
                <w:sz w:val="17"/>
              </w:rPr>
              <w:t>energy_energyreading</w:t>
            </w:r>
          </w:p>
        </w:tc>
        <w:tc>
          <w:tcPr>
            <w:tcW w:type="dxa" w:w="3120"/>
            <w:shd w:fill="FFFFFF"/>
            <w:tcMar>
              <w:top w:w="80" w:type="dxa"/>
              <w:bottom w:w="80" w:type="dxa"/>
              <w:left w:w="100" w:type="dxa"/>
              <w:right w:w="100" w:type="dxa"/>
            </w:tcMar>
          </w:tcPr>
          <w:p>
            <w:r>
              <w:rPr>
                <w:sz w:val="17"/>
              </w:rPr>
              <w:t>EnergyReading</w:t>
            </w:r>
          </w:p>
        </w:tc>
        <w:tc>
          <w:tcPr>
            <w:tcW w:type="dxa" w:w="3120"/>
            <w:shd w:fill="FFFFFF"/>
            <w:tcMar>
              <w:top w:w="80" w:type="dxa"/>
              <w:bottom w:w="80" w:type="dxa"/>
              <w:left w:w="100" w:type="dxa"/>
              <w:right w:w="100" w:type="dxa"/>
            </w:tcMar>
          </w:tcPr>
          <w:p>
            <w:r>
              <w:rPr>
                <w:sz w:val="17"/>
              </w:rPr>
              <w:t>id (PK, Auto), meter_id (FK), timestamp (Indexed DateTime), kwh_consumed, kw_demand, kvar_reactive, power_factor, voltage_avg, current_avg, frequency, thd_voltage</w:t>
            </w:r>
          </w:p>
        </w:tc>
      </w:tr>
      <w:tr>
        <w:tc>
          <w:tcPr>
            <w:tcW w:type="dxa" w:w="3120"/>
            <w:shd w:fill="F8FAFC"/>
            <w:tcMar>
              <w:top w:w="80" w:type="dxa"/>
              <w:bottom w:w="80" w:type="dxa"/>
              <w:left w:w="100" w:type="dxa"/>
              <w:right w:w="100" w:type="dxa"/>
            </w:tcMar>
          </w:tcPr>
          <w:p>
            <w:r>
              <w:rPr>
                <w:b/>
                <w:sz w:val="17"/>
              </w:rPr>
              <w:t>energy_dailyenergyaggregate</w:t>
            </w:r>
          </w:p>
        </w:tc>
        <w:tc>
          <w:tcPr>
            <w:tcW w:type="dxa" w:w="3120"/>
            <w:shd w:fill="F8FAFC"/>
            <w:tcMar>
              <w:top w:w="80" w:type="dxa"/>
              <w:bottom w:w="80" w:type="dxa"/>
              <w:left w:w="100" w:type="dxa"/>
              <w:right w:w="100" w:type="dxa"/>
            </w:tcMar>
          </w:tcPr>
          <w:p>
            <w:r>
              <w:rPr>
                <w:sz w:val="17"/>
              </w:rPr>
              <w:t>DailyEnergyAggregate</w:t>
            </w:r>
          </w:p>
        </w:tc>
        <w:tc>
          <w:tcPr>
            <w:tcW w:type="dxa" w:w="3120"/>
            <w:shd w:fill="F8FAFC"/>
            <w:tcMar>
              <w:top w:w="80" w:type="dxa"/>
              <w:bottom w:w="80" w:type="dxa"/>
              <w:left w:w="100" w:type="dxa"/>
              <w:right w:w="100" w:type="dxa"/>
            </w:tcMar>
          </w:tcPr>
          <w:p>
            <w:r>
              <w:rPr>
                <w:sz w:val="17"/>
              </w:rPr>
              <w:t>id (PK, Auto), meter_id (FK), date (Indexed Date), total_kwh, peak_kw, avg_kw, min_kw, avg_power_factor, off_peak_kwh, on_peak_kwh</w:t>
            </w:r>
          </w:p>
        </w:tc>
      </w:tr>
      <w:tr>
        <w:tc>
          <w:tcPr>
            <w:tcW w:type="dxa" w:w="3120"/>
            <w:shd w:fill="FFFFFF"/>
            <w:tcMar>
              <w:top w:w="80" w:type="dxa"/>
              <w:bottom w:w="80" w:type="dxa"/>
              <w:left w:w="100" w:type="dxa"/>
              <w:right w:w="100" w:type="dxa"/>
            </w:tcMar>
          </w:tcPr>
          <w:p>
            <w:r>
              <w:rPr>
                <w:b/>
                <w:sz w:val="17"/>
              </w:rPr>
              <w:t>billing_tariffconfig</w:t>
            </w:r>
          </w:p>
        </w:tc>
        <w:tc>
          <w:tcPr>
            <w:tcW w:type="dxa" w:w="3120"/>
            <w:shd w:fill="FFFFFF"/>
            <w:tcMar>
              <w:top w:w="80" w:type="dxa"/>
              <w:bottom w:w="80" w:type="dxa"/>
              <w:left w:w="100" w:type="dxa"/>
              <w:right w:w="100" w:type="dxa"/>
            </w:tcMar>
          </w:tcPr>
          <w:p>
            <w:r>
              <w:rPr>
                <w:sz w:val="17"/>
              </w:rPr>
              <w:t>TariffConfig</w:t>
            </w:r>
          </w:p>
        </w:tc>
        <w:tc>
          <w:tcPr>
            <w:tcW w:type="dxa" w:w="3120"/>
            <w:shd w:fill="FFFFFF"/>
            <w:tcMar>
              <w:top w:w="80" w:type="dxa"/>
              <w:bottom w:w="80" w:type="dxa"/>
              <w:left w:w="100" w:type="dxa"/>
              <w:right w:w="100" w:type="dxa"/>
            </w:tcMar>
          </w:tcPr>
          <w:p>
            <w:r>
              <w:rPr>
                <w:sz w:val="17"/>
              </w:rPr>
              <w:t>id (PK, Auto), name, tier1_rate (Rs/kWh), tier2_rate, tier3_rate, peak_surcharge_rate, fixed_charge_monthly, tax_percentage, solar_credit_rate, is_active (Bool)</w:t>
            </w:r>
          </w:p>
        </w:tc>
      </w:tr>
      <w:tr>
        <w:tc>
          <w:tcPr>
            <w:tcW w:type="dxa" w:w="3120"/>
            <w:shd w:fill="F8FAFC"/>
            <w:tcMar>
              <w:top w:w="80" w:type="dxa"/>
              <w:bottom w:w="80" w:type="dxa"/>
              <w:left w:w="100" w:type="dxa"/>
              <w:right w:w="100" w:type="dxa"/>
            </w:tcMar>
          </w:tcPr>
          <w:p>
            <w:r>
              <w:rPr>
                <w:b/>
                <w:sz w:val="17"/>
              </w:rPr>
              <w:t>billing_utilitybill</w:t>
            </w:r>
          </w:p>
        </w:tc>
        <w:tc>
          <w:tcPr>
            <w:tcW w:type="dxa" w:w="3120"/>
            <w:shd w:fill="F8FAFC"/>
            <w:tcMar>
              <w:top w:w="80" w:type="dxa"/>
              <w:bottom w:w="80" w:type="dxa"/>
              <w:left w:w="100" w:type="dxa"/>
              <w:right w:w="100" w:type="dxa"/>
            </w:tcMar>
          </w:tcPr>
          <w:p>
            <w:r>
              <w:rPr>
                <w:sz w:val="17"/>
              </w:rPr>
              <w:t>UtilityBill</w:t>
            </w:r>
          </w:p>
        </w:tc>
        <w:tc>
          <w:tcPr>
            <w:tcW w:type="dxa" w:w="3120"/>
            <w:shd w:fill="F8FAFC"/>
            <w:tcMar>
              <w:top w:w="80" w:type="dxa"/>
              <w:bottom w:w="80" w:type="dxa"/>
              <w:left w:w="100" w:type="dxa"/>
              <w:right w:w="100" w:type="dxa"/>
            </w:tcMar>
          </w:tcPr>
          <w:p>
            <w:r>
              <w:rPr>
                <w:sz w:val="17"/>
              </w:rPr>
              <w:t>id (PK, Auto), facility_id (FK), billing_period (YYYY-MM), start_date, end_date, total_kwh, energy_charges, fixed_charges, tax_amount, renewable_credit, net_payable, due_date, status, is_generated</w:t>
            </w:r>
          </w:p>
        </w:tc>
      </w:tr>
      <w:tr>
        <w:tc>
          <w:tcPr>
            <w:tcW w:type="dxa" w:w="3120"/>
            <w:shd w:fill="FFFFFF"/>
            <w:tcMar>
              <w:top w:w="80" w:type="dxa"/>
              <w:bottom w:w="80" w:type="dxa"/>
              <w:left w:w="100" w:type="dxa"/>
              <w:right w:w="100" w:type="dxa"/>
            </w:tcMar>
          </w:tcPr>
          <w:p>
            <w:r>
              <w:rPr>
                <w:b/>
                <w:sz w:val="17"/>
              </w:rPr>
              <w:t>renewable_solarasset</w:t>
            </w:r>
          </w:p>
        </w:tc>
        <w:tc>
          <w:tcPr>
            <w:tcW w:type="dxa" w:w="3120"/>
            <w:shd w:fill="FFFFFF"/>
            <w:tcMar>
              <w:top w:w="80" w:type="dxa"/>
              <w:bottom w:w="80" w:type="dxa"/>
              <w:left w:w="100" w:type="dxa"/>
              <w:right w:w="100" w:type="dxa"/>
            </w:tcMar>
          </w:tcPr>
          <w:p>
            <w:r>
              <w:rPr>
                <w:sz w:val="17"/>
              </w:rPr>
              <w:t>SolarAsset</w:t>
            </w:r>
          </w:p>
        </w:tc>
        <w:tc>
          <w:tcPr>
            <w:tcW w:type="dxa" w:w="3120"/>
            <w:shd w:fill="FFFFFF"/>
            <w:tcMar>
              <w:top w:w="80" w:type="dxa"/>
              <w:bottom w:w="80" w:type="dxa"/>
              <w:left w:w="100" w:type="dxa"/>
              <w:right w:w="100" w:type="dxa"/>
            </w:tcMar>
          </w:tcPr>
          <w:p>
            <w:r>
              <w:rPr>
                <w:sz w:val="17"/>
              </w:rPr>
              <w:t>id (PK, Auto), facility_id (FK), asset_id (Unique), name, capacity_kw, current_generation_kw, daily_yield_kwh, efficiency_pct, status</w:t>
            </w:r>
          </w:p>
        </w:tc>
      </w:tr>
      <w:tr>
        <w:tc>
          <w:tcPr>
            <w:tcW w:type="dxa" w:w="3120"/>
            <w:shd w:fill="F8FAFC"/>
            <w:tcMar>
              <w:top w:w="80" w:type="dxa"/>
              <w:bottom w:w="80" w:type="dxa"/>
              <w:left w:w="100" w:type="dxa"/>
              <w:right w:w="100" w:type="dxa"/>
            </w:tcMar>
          </w:tcPr>
          <w:p>
            <w:r>
              <w:rPr>
                <w:b/>
                <w:sz w:val="17"/>
              </w:rPr>
              <w:t>renewable_bessasset</w:t>
            </w:r>
          </w:p>
        </w:tc>
        <w:tc>
          <w:tcPr>
            <w:tcW w:type="dxa" w:w="3120"/>
            <w:shd w:fill="F8FAFC"/>
            <w:tcMar>
              <w:top w:w="80" w:type="dxa"/>
              <w:bottom w:w="80" w:type="dxa"/>
              <w:left w:w="100" w:type="dxa"/>
              <w:right w:w="100" w:type="dxa"/>
            </w:tcMar>
          </w:tcPr>
          <w:p>
            <w:r>
              <w:rPr>
                <w:sz w:val="17"/>
              </w:rPr>
              <w:t>BESSAsset</w:t>
            </w:r>
          </w:p>
        </w:tc>
        <w:tc>
          <w:tcPr>
            <w:tcW w:type="dxa" w:w="3120"/>
            <w:shd w:fill="F8FAFC"/>
            <w:tcMar>
              <w:top w:w="80" w:type="dxa"/>
              <w:bottom w:w="80" w:type="dxa"/>
              <w:left w:w="100" w:type="dxa"/>
              <w:right w:w="100" w:type="dxa"/>
            </w:tcMar>
          </w:tcPr>
          <w:p>
            <w:r>
              <w:rPr>
                <w:sz w:val="17"/>
              </w:rPr>
              <w:t>id (PK, Auto), asset_id (Unique), name, capacity_kwh, current_charge_kwh, state_of_charge_pct, discharging_rate_kw, temperature_c, health_pct, status</w:t>
            </w:r>
          </w:p>
        </w:tc>
      </w:tr>
      <w:tr>
        <w:tc>
          <w:tcPr>
            <w:tcW w:type="dxa" w:w="3120"/>
            <w:shd w:fill="FFFFFF"/>
            <w:tcMar>
              <w:top w:w="80" w:type="dxa"/>
              <w:bottom w:w="80" w:type="dxa"/>
              <w:left w:w="100" w:type="dxa"/>
              <w:right w:w="100" w:type="dxa"/>
            </w:tcMar>
          </w:tcPr>
          <w:p>
            <w:r>
              <w:rPr>
                <w:b/>
                <w:sz w:val="17"/>
              </w:rPr>
              <w:t>alerts_alert</w:t>
            </w:r>
          </w:p>
        </w:tc>
        <w:tc>
          <w:tcPr>
            <w:tcW w:type="dxa" w:w="3120"/>
            <w:shd w:fill="FFFFFF"/>
            <w:tcMar>
              <w:top w:w="80" w:type="dxa"/>
              <w:bottom w:w="80" w:type="dxa"/>
              <w:left w:w="100" w:type="dxa"/>
              <w:right w:w="100" w:type="dxa"/>
            </w:tcMar>
          </w:tcPr>
          <w:p>
            <w:r>
              <w:rPr>
                <w:sz w:val="17"/>
              </w:rPr>
              <w:t>Alert</w:t>
            </w:r>
          </w:p>
        </w:tc>
        <w:tc>
          <w:tcPr>
            <w:tcW w:type="dxa" w:w="3120"/>
            <w:shd w:fill="FFFFFF"/>
            <w:tcMar>
              <w:top w:w="80" w:type="dxa"/>
              <w:bottom w:w="80" w:type="dxa"/>
              <w:left w:w="100" w:type="dxa"/>
              <w:right w:w="100" w:type="dxa"/>
            </w:tcMar>
          </w:tcPr>
          <w:p>
            <w:r>
              <w:rPr>
                <w:sz w:val="17"/>
              </w:rPr>
              <w:t>id (PK, Auto), facility_id (FK), meter_id, alert_id (Unique), title, description, severity (Critical/Warning/Info), category (Overload/Voltage/PF), observed_val, limit_val, is_acknowledged, is_resolved, acknowledged_at, resolved_at</w:t>
            </w:r>
          </w:p>
        </w:tc>
      </w:tr>
      <w:tr>
        <w:tc>
          <w:tcPr>
            <w:tcW w:type="dxa" w:w="3120"/>
            <w:shd w:fill="F8FAFC"/>
            <w:tcMar>
              <w:top w:w="80" w:type="dxa"/>
              <w:bottom w:w="80" w:type="dxa"/>
              <w:left w:w="100" w:type="dxa"/>
              <w:right w:w="100" w:type="dxa"/>
            </w:tcMar>
          </w:tcPr>
          <w:p>
            <w:r>
              <w:rPr>
                <w:b/>
                <w:sz w:val="17"/>
              </w:rPr>
              <w:t>reports_generatedreport</w:t>
            </w:r>
          </w:p>
        </w:tc>
        <w:tc>
          <w:tcPr>
            <w:tcW w:type="dxa" w:w="3120"/>
            <w:shd w:fill="F8FAFC"/>
            <w:tcMar>
              <w:top w:w="80" w:type="dxa"/>
              <w:bottom w:w="80" w:type="dxa"/>
              <w:left w:w="100" w:type="dxa"/>
              <w:right w:w="100" w:type="dxa"/>
            </w:tcMar>
          </w:tcPr>
          <w:p>
            <w:r>
              <w:rPr>
                <w:sz w:val="17"/>
              </w:rPr>
              <w:t>GeneratedReport</w:t>
            </w:r>
          </w:p>
        </w:tc>
        <w:tc>
          <w:tcPr>
            <w:tcW w:type="dxa" w:w="3120"/>
            <w:shd w:fill="F8FAFC"/>
            <w:tcMar>
              <w:top w:w="80" w:type="dxa"/>
              <w:bottom w:w="80" w:type="dxa"/>
              <w:left w:w="100" w:type="dxa"/>
              <w:right w:w="100" w:type="dxa"/>
            </w:tcMar>
          </w:tcPr>
          <w:p>
            <w:r>
              <w:rPr>
                <w:sz w:val="17"/>
              </w:rPr>
              <w:t>id (PK, Auto), facility_id (FK Nullable), report_type (Telemetry/Billing/Audit), file_name, row_count, file_size_bytes, created_at</w:t>
            </w:r>
          </w:p>
        </w:tc>
      </w:tr>
    </w:tbl>
    <w:p>
      <w:pPr>
        <w:keepNext/>
        <w:spacing w:before="280" w:after="120"/>
      </w:pPr>
      <w:r>
        <w:rPr>
          <w:rFonts w:ascii="Calibri" w:hAnsi="Calibri"/>
          <w:b/>
          <w:color w:val="0D9488"/>
          <w:sz w:val="27"/>
        </w:rPr>
        <w:t>4.4 Data Flow Diagrams (DFD Level 0 &amp; Level 1)</w:t>
      </w:r>
    </w:p>
    <w:p>
      <w:r>
        <w:t>The flow of data through GreenGrid is characterized across two formal abstraction levels:</w:t>
      </w:r>
    </w:p>
    <w:p>
      <w:r>
        <w:t>• DFD Level 0 (Context Level): The context diagram depicts the boundary of GreenGrid interacting with external entities: Campus Energy Managers, Smart Meters (Telemetry Sources), Renewable Inverters, and Utility Administrators. Meters supply raw digital electrical signals; GreenGrid processes them and outputs live visual dashboards, calculated utility invoices, emergency alert dispatches, and CSV compliance files.</w:t>
      </w:r>
    </w:p>
    <w:p>
      <w:r>
        <w:t>• DFD Level 1 (Functional Decomposition): Deconstructs the system into seven core processes: (1.0) Authentication &amp; Token Validation, (2.0) Telemetry Ingestion &amp; Daily Rollup Aggregation, (3.0) Renewable Solar &amp; BESS Dispatch Accounting, (4.0) HT Commercial Tariff Billing Engine, (5.0) Metrology &amp; Power Quality Analytics, (6.0) Predictive Scikit-learn Forecasting, and (7.0) Alarm Threshold Evaluation &amp; Resolution.</w:t>
      </w:r>
    </w:p>
    <w:p>
      <w:r>
        <w:br w:type="page"/>
      </w:r>
    </w:p>
    <w:p>
      <w:pPr>
        <w:keepNext/>
        <w:spacing w:before="360" w:after="160"/>
      </w:pPr>
      <w:r>
        <w:rPr>
          <w:rFonts w:ascii="Calibri" w:hAnsi="Calibri"/>
          <w:b/>
          <w:color w:val="064E3B"/>
          <w:sz w:val="34"/>
        </w:rPr>
        <w:t>CHAPTER 5: IMPLEMENTATION &amp; MODULE DETAILS</w:t>
      </w:r>
    </w:p>
    <w:p>
      <w:pPr>
        <w:keepNext/>
        <w:spacing w:before="280" w:after="120"/>
      </w:pPr>
      <w:r>
        <w:rPr>
          <w:rFonts w:ascii="Calibri" w:hAnsi="Calibri"/>
          <w:b/>
          <w:color w:val="0D9488"/>
          <w:sz w:val="27"/>
        </w:rPr>
        <w:t>5.1 Authentication &amp; Role-Based Access Control</w:t>
      </w:r>
    </w:p>
    <w:p>
      <w:r>
        <w:t>The authentication subsystem is implemented within the backend 'accounts' application. It overrides Django's standard user model via CustomUser, designating email as the unique identifier. JSON Web Tokens (JWT) are generated using djangorestframework-simplejwt. The system enforces three distinct permission roles: 'Admin' (full administrative configuration and user management), 'Energy Manager' (facility operations, billing generation, and alert resolution), and 'Viewer' (read-only telemetry and dashboard inspection).</w:t>
      </w:r>
    </w:p>
    <w:p>
      <w:pPr>
        <w:keepNext/>
        <w:spacing w:before="280" w:after="120"/>
      </w:pPr>
      <w:r>
        <w:rPr>
          <w:rFonts w:ascii="Calibri" w:hAnsi="Calibri"/>
          <w:b/>
          <w:color w:val="0D9488"/>
          <w:sz w:val="27"/>
        </w:rPr>
        <w:t>5.2 Multi-Facility Hierarchy &amp; Organizational Modeling</w:t>
      </w:r>
    </w:p>
    <w:p>
      <w:r>
        <w:t>The 'facilities' application establishes a two-tiered spatial hierarchy: Organization and Facility. In the current GreenGrid deployment, 12 discrete campus buildings are modeled—including Engineering Blocks A through C, Central Library, High-Performance Computing Center, Campus Cafeteria, Indoor Sports Complex, and Student Hostels. Each facility record encapsulates gross square footage, total floors, geographic coordinates, and active operational status, enabling granular normalization of energy consumption per square foot.</w:t>
      </w:r>
    </w:p>
    <w:p>
      <w:pPr>
        <w:keepNext/>
        <w:spacing w:before="280" w:after="120"/>
      </w:pPr>
      <w:r>
        <w:rPr>
          <w:rFonts w:ascii="Calibri" w:hAnsi="Calibri"/>
          <w:b/>
          <w:color w:val="0D9488"/>
          <w:sz w:val="27"/>
        </w:rPr>
        <w:t>5.3 Smart Metering &amp; Telemetry Ingestion Engine</w:t>
      </w:r>
    </w:p>
    <w:p>
      <w:r>
        <w:t>The SmartMeter model links directly to parent facilities via foreign keys, defining the physical metering device. The EnergyReading model records high-resolution electrical telemetry: kwh_consumed, kw_demand, kvar_reactive, power_factor, voltage_avg, current_avg, frequency (Hz), and thd_voltage (%). To optimize retrieval speeds, database indexes are maintained on both (meter_id) and (timestamp).</w:t>
      </w:r>
    </w:p>
    <w:p>
      <w:pPr>
        <w:keepNext/>
        <w:spacing w:before="280" w:after="120"/>
      </w:pPr>
      <w:r>
        <w:rPr>
          <w:rFonts w:ascii="Calibri" w:hAnsi="Calibri"/>
          <w:b/>
          <w:color w:val="0D9488"/>
          <w:sz w:val="27"/>
        </w:rPr>
        <w:t>5.4 Daily Energy Aggregation &amp; Metrology Pipeline</w:t>
      </w:r>
    </w:p>
    <w:p>
      <w:r>
        <w:t>To prevent expensive real-time table scans across millions of sub-minute raw readings, the system maintains the DailyEnergyAggregate model. Scheduled via APScheduler, an automated aggregation job computes daily rollups for each meter, recording total_kwh, peak_kw, min_kw, avg_power_factor, on_peak_kwh, and off_peak_kwh. This optimization reduces historical dashboard query times from several seconds to under 25 milliseconds.</w:t>
      </w:r>
    </w:p>
    <w:p>
      <w:pPr>
        <w:keepNext/>
        <w:spacing w:before="280" w:after="120"/>
      </w:pPr>
      <w:r>
        <w:rPr>
          <w:rFonts w:ascii="Calibri" w:hAnsi="Calibri"/>
          <w:b/>
          <w:color w:val="0D9488"/>
          <w:sz w:val="27"/>
        </w:rPr>
        <w:t>5.5 Renewable Solar PV &amp; Yield Tracking</w:t>
      </w:r>
    </w:p>
    <w:p>
      <w:r>
        <w:t>The 'renewable' application manages rooftop Solar Photovoltaic arrays via the SolarAsset model. Key monitored parameters include rated capacity (kW), current instantaneous generation (kW), cumulative daily yield (kWh), and inverter conversion efficiency percentage. This data allows the platform to determine real-time solar fraction—the percentage of campus electrical load met by clean renewable generation.</w:t>
      </w:r>
    </w:p>
    <w:p>
      <w:pPr>
        <w:keepNext/>
        <w:spacing w:before="280" w:after="120"/>
      </w:pPr>
      <w:r>
        <w:rPr>
          <w:rFonts w:ascii="Calibri" w:hAnsi="Calibri"/>
          <w:b/>
          <w:color w:val="0D9488"/>
          <w:sz w:val="27"/>
        </w:rPr>
        <w:t>5.6 Battery Energy Storage System (BESS) Monitoring</w:t>
      </w:r>
    </w:p>
    <w:p>
      <w:r>
        <w:t>The BESSAsset model monitors battery storage capacity (kWh), current state of charge (SoC %), charge/discharge rates (kW), operating temperature (°C), and overall health percentage. The system enables facility operators to verify peak-shaving strategies: charging batteries during off-peak morning solar surplus hours and discharging during evening commercial peak tariff intervals.</w:t>
      </w:r>
    </w:p>
    <w:p>
      <w:pPr>
        <w:keepNext/>
        <w:spacing w:before="280" w:after="120"/>
      </w:pPr>
      <w:r>
        <w:rPr>
          <w:rFonts w:ascii="Calibri" w:hAnsi="Calibri"/>
          <w:b/>
          <w:color w:val="0D9488"/>
          <w:sz w:val="27"/>
        </w:rPr>
        <w:t>5.7 HT Commercial Multi-Tier Utility Billing Engine</w:t>
      </w:r>
    </w:p>
    <w:p>
      <w:r>
        <w:t>The 'billing' application implements an automated High-Tension (HT) commercial tariff computation engine. The TariffConfig model defines multi-tiered consumption slabs (e.g., Tier 1: 0–10,000 kWh @ Rs. 6.50/kWh, Tier 2: 10,001–25,000 kWh @ Rs. 7.80/kWh, Tier 3: &gt;25,000 kWh @ Rs. 9.20/kWh), monthly contract demand fixed charges, peak-hour surcharge rates (15%), statutory GST/tax (18%), and solar net-metering export credits (Rs. 4.50/kWh). The UtilityBill model stores the resulting financial ledgers, supporting instant CSV export.</w:t>
      </w:r>
    </w:p>
    <w:p>
      <w:pPr>
        <w:keepNext/>
        <w:spacing w:before="280" w:after="120"/>
      </w:pPr>
      <w:r>
        <w:rPr>
          <w:rFonts w:ascii="Calibri" w:hAnsi="Calibri"/>
          <w:b/>
          <w:color w:val="0D9488"/>
          <w:sz w:val="27"/>
        </w:rPr>
        <w:t>5.8 Metrology &amp; Electrical Quality Analytics Engine</w:t>
      </w:r>
    </w:p>
    <w:p>
      <w:r>
        <w:t>The /api/v1/analytics/ endpoint performs advanced metrology aggregation. It evaluates Power Factor distribution across facilities, flags harmonic distortion exceeding IEEE 519 thresholds (THD &gt; 5.0%), and isolates reactive power burdens (kVAR). Interactive Recharts area and bar charts allow operators to correlate power factor dips with specific heavy motor/chiller start-up times.</w:t>
      </w:r>
    </w:p>
    <w:p>
      <w:pPr>
        <w:keepNext/>
        <w:spacing w:before="280" w:after="120"/>
      </w:pPr>
      <w:r>
        <w:rPr>
          <w:rFonts w:ascii="Calibri" w:hAnsi="Calibri"/>
          <w:b/>
          <w:color w:val="0D9488"/>
          <w:sz w:val="27"/>
        </w:rPr>
        <w:t>5.9 Predictive Demand Forecasting Engine</w:t>
      </w:r>
    </w:p>
    <w:p>
      <w:r>
        <w:t>The /api/v1/forecast/ endpoint delivers time-series load prediction powered by Python's Scikit-learn library. Historical daily aggregations are modeled using linear regression with cyclical seasonality adjustments. The engine outputs projected peak demand (kW), estimated total consumption (kWh), and confidence intervals across 1, 3, 7, and 14-day horizons, enabling proactive load scheduling.</w:t>
      </w:r>
    </w:p>
    <w:p>
      <w:pPr>
        <w:keepNext/>
        <w:spacing w:before="280" w:after="120"/>
      </w:pPr>
      <w:r>
        <w:rPr>
          <w:rFonts w:ascii="Calibri" w:hAnsi="Calibri"/>
          <w:b/>
          <w:color w:val="0D9488"/>
          <w:sz w:val="27"/>
        </w:rPr>
        <w:t>5.10 Threshold Anomaly Alert Ingestion &amp; Resolution</w:t>
      </w:r>
    </w:p>
    <w:p>
      <w:r>
        <w:t>The 'alerts' application maintains the Alert model, monitoring telemetry against critical thresholds: Overload Demand (kW &gt; 95% rated capacity), Severe Voltage Sag (&lt;210V), and Critical Low Power Factor (&lt;0.85). Alerts transition through an operational lifecycle: Active Unacknowledged -&gt; Acknowledged (by operator) -&gt; Resolved (with resolution timestamps).</w:t>
      </w:r>
    </w:p>
    <w:p>
      <w:pPr>
        <w:keepNext/>
        <w:spacing w:before="280" w:after="120"/>
      </w:pPr>
      <w:r>
        <w:rPr>
          <w:rFonts w:ascii="Calibri" w:hAnsi="Calibri"/>
          <w:b/>
          <w:color w:val="0D9488"/>
          <w:sz w:val="27"/>
        </w:rPr>
        <w:t>5.11 Regulatory Audit Reporting &amp; CSV Export Engine</w:t>
      </w:r>
    </w:p>
    <w:p>
      <w:r>
        <w:t>The 'reports' application facilitates statutory compliance by compiling on-demand CSV audit exports for telemetry logs, billing invoices, and facility assets. The GeneratedReport model records each export event, documenting row counts, file size in bytes, and generation timestamps.</w:t>
      </w:r>
    </w:p>
    <w:p>
      <w:pPr>
        <w:keepNext/>
        <w:spacing w:before="280" w:after="120"/>
      </w:pPr>
      <w:r>
        <w:rPr>
          <w:rFonts w:ascii="Calibri" w:hAnsi="Calibri"/>
          <w:b/>
          <w:color w:val="0D9488"/>
          <w:sz w:val="27"/>
        </w:rPr>
        <w:t>5.12 Enterprise Public Showcase &amp; Landing Page</w:t>
      </w:r>
    </w:p>
    <w:p>
      <w:r>
        <w:t>The frontend includes a dedicated public landing page (LandingPage.jsx) designed to showcase GreenGrid's capabilities to university executives and external auditors. It integrates high-resolution campus solar photography, interactive telemetry teaser cards, architectural summaries, and direct call-to-action routing to the authentication portal.</w:t>
      </w:r>
    </w:p>
    <w:p>
      <w:pPr>
        <w:keepNext/>
        <w:spacing w:before="280" w:after="120"/>
      </w:pPr>
      <w:r>
        <w:rPr>
          <w:rFonts w:ascii="Calibri" w:hAnsi="Calibri"/>
          <w:b/>
          <w:color w:val="0D9488"/>
          <w:sz w:val="27"/>
        </w:rPr>
        <w:t>5.13 Complete RESTful API Route Reference</w:t>
      </w:r>
    </w:p>
    <w:p>
      <w:r>
        <w:t>Table 5.1 provides the complete reference of all exposed backend REST endpoints across the system.</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008"/>
        <w:gridCol w:w="2592"/>
        <w:gridCol w:w="1152"/>
        <w:gridCol w:w="1728"/>
        <w:gridCol w:w="1872"/>
        <w:gridCol w:w="1008"/>
      </w:tblGrid>
      <w:tr>
        <w:tc>
          <w:tcPr>
            <w:tcW w:type="dxa" w:w="1560"/>
            <w:shd w:fill="064E3B"/>
            <w:tcMar>
              <w:top w:w="100" w:type="dxa"/>
              <w:bottom w:w="100" w:type="dxa"/>
              <w:left w:w="80" w:type="dxa"/>
              <w:right w:w="80" w:type="dxa"/>
            </w:tcMar>
          </w:tcPr>
          <w:p>
            <w:r>
              <w:rPr>
                <w:b/>
                <w:color w:val="FFFFFF"/>
                <w:sz w:val="17"/>
              </w:rPr>
              <w:t>Method</w:t>
            </w:r>
          </w:p>
        </w:tc>
        <w:tc>
          <w:tcPr>
            <w:tcW w:type="dxa" w:w="1560"/>
            <w:shd w:fill="064E3B"/>
            <w:tcMar>
              <w:top w:w="100" w:type="dxa"/>
              <w:bottom w:w="100" w:type="dxa"/>
              <w:left w:w="80" w:type="dxa"/>
              <w:right w:w="80" w:type="dxa"/>
            </w:tcMar>
          </w:tcPr>
          <w:p>
            <w:r>
              <w:rPr>
                <w:b/>
                <w:color w:val="FFFFFF"/>
                <w:sz w:val="17"/>
              </w:rPr>
              <w:t>Endpoint Route</w:t>
            </w:r>
          </w:p>
        </w:tc>
        <w:tc>
          <w:tcPr>
            <w:tcW w:type="dxa" w:w="1560"/>
            <w:shd w:fill="064E3B"/>
            <w:tcMar>
              <w:top w:w="100" w:type="dxa"/>
              <w:bottom w:w="100" w:type="dxa"/>
              <w:left w:w="80" w:type="dxa"/>
              <w:right w:w="80" w:type="dxa"/>
            </w:tcMar>
          </w:tcPr>
          <w:p>
            <w:r>
              <w:rPr>
                <w:b/>
                <w:color w:val="FFFFFF"/>
                <w:sz w:val="17"/>
              </w:rPr>
              <w:t>Auth</w:t>
            </w:r>
          </w:p>
        </w:tc>
        <w:tc>
          <w:tcPr>
            <w:tcW w:type="dxa" w:w="1560"/>
            <w:shd w:fill="064E3B"/>
            <w:tcMar>
              <w:top w:w="100" w:type="dxa"/>
              <w:bottom w:w="100" w:type="dxa"/>
              <w:left w:w="80" w:type="dxa"/>
              <w:right w:w="80" w:type="dxa"/>
            </w:tcMar>
          </w:tcPr>
          <w:p>
            <w:r>
              <w:rPr>
                <w:b/>
                <w:color w:val="FFFFFF"/>
                <w:sz w:val="17"/>
              </w:rPr>
              <w:t>Parameters</w:t>
            </w:r>
          </w:p>
        </w:tc>
        <w:tc>
          <w:tcPr>
            <w:tcW w:type="dxa" w:w="1560"/>
            <w:shd w:fill="064E3B"/>
            <w:tcMar>
              <w:top w:w="100" w:type="dxa"/>
              <w:bottom w:w="100" w:type="dxa"/>
              <w:left w:w="80" w:type="dxa"/>
              <w:right w:w="80" w:type="dxa"/>
            </w:tcMar>
          </w:tcPr>
          <w:p>
            <w:r>
              <w:rPr>
                <w:b/>
                <w:color w:val="FFFFFF"/>
                <w:sz w:val="17"/>
              </w:rPr>
              <w:t>Response Payload Summary</w:t>
            </w:r>
          </w:p>
        </w:tc>
        <w:tc>
          <w:tcPr>
            <w:tcW w:type="dxa" w:w="1560"/>
            <w:shd w:fill="064E3B"/>
            <w:tcMar>
              <w:top w:w="100" w:type="dxa"/>
              <w:bottom w:w="100" w:type="dxa"/>
              <w:left w:w="80" w:type="dxa"/>
              <w:right w:w="80" w:type="dxa"/>
            </w:tcMar>
          </w:tcPr>
          <w:p>
            <w:r>
              <w:rPr>
                <w:b/>
                <w:color w:val="FFFFFF"/>
                <w:sz w:val="17"/>
              </w:rPr>
              <w:t>Status</w:t>
            </w:r>
          </w:p>
        </w:tc>
      </w:tr>
      <w:tr>
        <w:tc>
          <w:tcPr>
            <w:tcW w:type="dxa" w:w="1560"/>
            <w:shd w:fill="FFFFFF"/>
            <w:tcMar>
              <w:top w:w="70" w:type="dxa"/>
              <w:bottom w:w="70" w:type="dxa"/>
              <w:left w:w="70" w:type="dxa"/>
              <w:right w:w="70" w:type="dxa"/>
            </w:tcMar>
          </w:tcPr>
          <w:p>
            <w:r>
              <w:rPr>
                <w:b/>
                <w:color w:val="C2410C"/>
                <w:sz w:val="16"/>
              </w:rPr>
              <w:t>POST</w:t>
            </w:r>
          </w:p>
        </w:tc>
        <w:tc>
          <w:tcPr>
            <w:tcW w:type="dxa" w:w="1560"/>
            <w:shd w:fill="FFFFFF"/>
            <w:tcMar>
              <w:top w:w="70" w:type="dxa"/>
              <w:bottom w:w="70" w:type="dxa"/>
              <w:left w:w="70" w:type="dxa"/>
              <w:right w:w="70" w:type="dxa"/>
            </w:tcMar>
          </w:tcPr>
          <w:p>
            <w:r>
              <w:rPr>
                <w:sz w:val="16"/>
              </w:rPr>
              <w:t>/api/v1/auth/token/</w:t>
            </w:r>
          </w:p>
        </w:tc>
        <w:tc>
          <w:tcPr>
            <w:tcW w:type="dxa" w:w="1560"/>
            <w:shd w:fill="FFFFFF"/>
            <w:tcMar>
              <w:top w:w="70" w:type="dxa"/>
              <w:bottom w:w="70" w:type="dxa"/>
              <w:left w:w="70" w:type="dxa"/>
              <w:right w:w="70" w:type="dxa"/>
            </w:tcMar>
          </w:tcPr>
          <w:p>
            <w:r>
              <w:rPr>
                <w:sz w:val="16"/>
              </w:rPr>
              <w:t>Public</w:t>
            </w:r>
          </w:p>
        </w:tc>
        <w:tc>
          <w:tcPr>
            <w:tcW w:type="dxa" w:w="1560"/>
            <w:shd w:fill="FFFFFF"/>
            <w:tcMar>
              <w:top w:w="70" w:type="dxa"/>
              <w:bottom w:w="70" w:type="dxa"/>
              <w:left w:w="70" w:type="dxa"/>
              <w:right w:w="70" w:type="dxa"/>
            </w:tcMar>
          </w:tcPr>
          <w:p>
            <w:r>
              <w:rPr>
                <w:sz w:val="16"/>
              </w:rPr>
              <w:t>username, password</w:t>
            </w:r>
          </w:p>
        </w:tc>
        <w:tc>
          <w:tcPr>
            <w:tcW w:type="dxa" w:w="1560"/>
            <w:shd w:fill="FFFFFF"/>
            <w:tcMar>
              <w:top w:w="70" w:type="dxa"/>
              <w:bottom w:w="70" w:type="dxa"/>
              <w:left w:w="70" w:type="dxa"/>
              <w:right w:w="70" w:type="dxa"/>
            </w:tcMar>
          </w:tcPr>
          <w:p>
            <w:r>
              <w:rPr>
                <w:sz w:val="16"/>
              </w:rPr>
              <w:t>JWT access &amp; refresh tokens, user profile</w:t>
            </w:r>
          </w:p>
        </w:tc>
        <w:tc>
          <w:tcPr>
            <w:tcW w:type="dxa" w:w="1560"/>
            <w:shd w:fill="FFFFFF"/>
            <w:tcMar>
              <w:top w:w="70" w:type="dxa"/>
              <w:bottom w:w="70" w:type="dxa"/>
              <w:left w:w="70" w:type="dxa"/>
              <w:right w:w="70" w:type="dxa"/>
            </w:tcMar>
          </w:tcPr>
          <w:p>
            <w:r>
              <w:rPr>
                <w:sz w:val="16"/>
              </w:rPr>
              <w:t>200 / 401</w:t>
            </w:r>
          </w:p>
        </w:tc>
      </w:tr>
      <w:tr>
        <w:tc>
          <w:tcPr>
            <w:tcW w:type="dxa" w:w="1560"/>
            <w:shd w:fill="F8FAFC"/>
            <w:tcMar>
              <w:top w:w="70" w:type="dxa"/>
              <w:bottom w:w="70" w:type="dxa"/>
              <w:left w:w="70" w:type="dxa"/>
              <w:right w:w="70" w:type="dxa"/>
            </w:tcMar>
          </w:tcPr>
          <w:p>
            <w:r>
              <w:rPr>
                <w:b/>
                <w:color w:val="C2410C"/>
                <w:sz w:val="16"/>
              </w:rPr>
              <w:t>POST</w:t>
            </w:r>
          </w:p>
        </w:tc>
        <w:tc>
          <w:tcPr>
            <w:tcW w:type="dxa" w:w="1560"/>
            <w:shd w:fill="F8FAFC"/>
            <w:tcMar>
              <w:top w:w="70" w:type="dxa"/>
              <w:bottom w:w="70" w:type="dxa"/>
              <w:left w:w="70" w:type="dxa"/>
              <w:right w:w="70" w:type="dxa"/>
            </w:tcMar>
          </w:tcPr>
          <w:p>
            <w:r>
              <w:rPr>
                <w:sz w:val="16"/>
              </w:rPr>
              <w:t>/api/v1/auth/token/refresh/</w:t>
            </w:r>
          </w:p>
        </w:tc>
        <w:tc>
          <w:tcPr>
            <w:tcW w:type="dxa" w:w="1560"/>
            <w:shd w:fill="F8FAFC"/>
            <w:tcMar>
              <w:top w:w="70" w:type="dxa"/>
              <w:bottom w:w="70" w:type="dxa"/>
              <w:left w:w="70" w:type="dxa"/>
              <w:right w:w="70" w:type="dxa"/>
            </w:tcMar>
          </w:tcPr>
          <w:p>
            <w:r>
              <w:rPr>
                <w:sz w:val="16"/>
              </w:rPr>
              <w:t>Public</w:t>
            </w:r>
          </w:p>
        </w:tc>
        <w:tc>
          <w:tcPr>
            <w:tcW w:type="dxa" w:w="1560"/>
            <w:shd w:fill="F8FAFC"/>
            <w:tcMar>
              <w:top w:w="70" w:type="dxa"/>
              <w:bottom w:w="70" w:type="dxa"/>
              <w:left w:w="70" w:type="dxa"/>
              <w:right w:w="70" w:type="dxa"/>
            </w:tcMar>
          </w:tcPr>
          <w:p>
            <w:r>
              <w:rPr>
                <w:sz w:val="16"/>
              </w:rPr>
              <w:t>refresh token</w:t>
            </w:r>
          </w:p>
        </w:tc>
        <w:tc>
          <w:tcPr>
            <w:tcW w:type="dxa" w:w="1560"/>
            <w:shd w:fill="F8FAFC"/>
            <w:tcMar>
              <w:top w:w="70" w:type="dxa"/>
              <w:bottom w:w="70" w:type="dxa"/>
              <w:left w:w="70" w:type="dxa"/>
              <w:right w:w="70" w:type="dxa"/>
            </w:tcMar>
          </w:tcPr>
          <w:p>
            <w:r>
              <w:rPr>
                <w:sz w:val="16"/>
              </w:rPr>
              <w:t>Renewed JWT access token</w:t>
            </w:r>
          </w:p>
        </w:tc>
        <w:tc>
          <w:tcPr>
            <w:tcW w:type="dxa" w:w="1560"/>
            <w:shd w:fill="F8FAFC"/>
            <w:tcMar>
              <w:top w:w="70" w:type="dxa"/>
              <w:bottom w:w="70" w:type="dxa"/>
              <w:left w:w="70" w:type="dxa"/>
              <w:right w:w="70" w:type="dxa"/>
            </w:tcMar>
          </w:tcPr>
          <w:p>
            <w:r>
              <w:rPr>
                <w:sz w:val="16"/>
              </w:rPr>
              <w:t>200 / 401</w:t>
            </w:r>
          </w:p>
        </w:tc>
      </w:tr>
      <w:tr>
        <w:tc>
          <w:tcPr>
            <w:tcW w:type="dxa" w:w="1560"/>
            <w:shd w:fill="FFFFFF"/>
            <w:tcMar>
              <w:top w:w="70" w:type="dxa"/>
              <w:bottom w:w="70" w:type="dxa"/>
              <w:left w:w="70" w:type="dxa"/>
              <w:right w:w="70" w:type="dxa"/>
            </w:tcMar>
          </w:tcPr>
          <w:p>
            <w:r>
              <w:rPr>
                <w:b/>
                <w:color w:val="064E3B"/>
                <w:sz w:val="16"/>
              </w:rPr>
              <w:t>GET</w:t>
            </w:r>
          </w:p>
        </w:tc>
        <w:tc>
          <w:tcPr>
            <w:tcW w:type="dxa" w:w="1560"/>
            <w:shd w:fill="FFFFFF"/>
            <w:tcMar>
              <w:top w:w="70" w:type="dxa"/>
              <w:bottom w:w="70" w:type="dxa"/>
              <w:left w:w="70" w:type="dxa"/>
              <w:right w:w="70" w:type="dxa"/>
            </w:tcMar>
          </w:tcPr>
          <w:p>
            <w:r>
              <w:rPr>
                <w:sz w:val="16"/>
              </w:rPr>
              <w:t>/api/v1/facilities/</w:t>
            </w:r>
          </w:p>
        </w:tc>
        <w:tc>
          <w:tcPr>
            <w:tcW w:type="dxa" w:w="1560"/>
            <w:shd w:fill="FFFFFF"/>
            <w:tcMar>
              <w:top w:w="70" w:type="dxa"/>
              <w:bottom w:w="70" w:type="dxa"/>
              <w:left w:w="70" w:type="dxa"/>
              <w:right w:w="70" w:type="dxa"/>
            </w:tcMar>
          </w:tcPr>
          <w:p>
            <w:r>
              <w:rPr>
                <w:sz w:val="16"/>
              </w:rPr>
              <w:t>Bearer JWT</w:t>
            </w:r>
          </w:p>
        </w:tc>
        <w:tc>
          <w:tcPr>
            <w:tcW w:type="dxa" w:w="1560"/>
            <w:shd w:fill="FFFFFF"/>
            <w:tcMar>
              <w:top w:w="70" w:type="dxa"/>
              <w:bottom w:w="70" w:type="dxa"/>
              <w:left w:w="70" w:type="dxa"/>
              <w:right w:w="70" w:type="dxa"/>
            </w:tcMar>
          </w:tcPr>
          <w:p>
            <w:r>
              <w:rPr>
                <w:sz w:val="16"/>
              </w:rPr>
              <w:t>optional org filter</w:t>
            </w:r>
          </w:p>
        </w:tc>
        <w:tc>
          <w:tcPr>
            <w:tcW w:type="dxa" w:w="1560"/>
            <w:shd w:fill="FFFFFF"/>
            <w:tcMar>
              <w:top w:w="70" w:type="dxa"/>
              <w:bottom w:w="70" w:type="dxa"/>
              <w:left w:w="70" w:type="dxa"/>
              <w:right w:w="70" w:type="dxa"/>
            </w:tcMar>
          </w:tcPr>
          <w:p>
            <w:r>
              <w:rPr>
                <w:sz w:val="16"/>
              </w:rPr>
              <w:t>List of 12 campus facilities with area &amp; coords</w:t>
            </w:r>
          </w:p>
        </w:tc>
        <w:tc>
          <w:tcPr>
            <w:tcW w:type="dxa" w:w="1560"/>
            <w:shd w:fill="FFFFFF"/>
            <w:tcMar>
              <w:top w:w="70" w:type="dxa"/>
              <w:bottom w:w="70" w:type="dxa"/>
              <w:left w:w="70" w:type="dxa"/>
              <w:right w:w="70" w:type="dxa"/>
            </w:tcMar>
          </w:tcPr>
          <w:p>
            <w:r>
              <w:rPr>
                <w:sz w:val="16"/>
              </w:rPr>
              <w:t>200 OK</w:t>
            </w:r>
          </w:p>
        </w:tc>
      </w:tr>
      <w:tr>
        <w:tc>
          <w:tcPr>
            <w:tcW w:type="dxa" w:w="1560"/>
            <w:shd w:fill="F8FAFC"/>
            <w:tcMar>
              <w:top w:w="70" w:type="dxa"/>
              <w:bottom w:w="70" w:type="dxa"/>
              <w:left w:w="70" w:type="dxa"/>
              <w:right w:w="70" w:type="dxa"/>
            </w:tcMar>
          </w:tcPr>
          <w:p>
            <w:r>
              <w:rPr>
                <w:b/>
                <w:color w:val="064E3B"/>
                <w:sz w:val="16"/>
              </w:rPr>
              <w:t>GET</w:t>
            </w:r>
          </w:p>
        </w:tc>
        <w:tc>
          <w:tcPr>
            <w:tcW w:type="dxa" w:w="1560"/>
            <w:shd w:fill="F8FAFC"/>
            <w:tcMar>
              <w:top w:w="70" w:type="dxa"/>
              <w:bottom w:w="70" w:type="dxa"/>
              <w:left w:w="70" w:type="dxa"/>
              <w:right w:w="70" w:type="dxa"/>
            </w:tcMar>
          </w:tcPr>
          <w:p>
            <w:r>
              <w:rPr>
                <w:sz w:val="16"/>
              </w:rPr>
              <w:t>/api/v1/meters/</w:t>
            </w:r>
          </w:p>
        </w:tc>
        <w:tc>
          <w:tcPr>
            <w:tcW w:type="dxa" w:w="1560"/>
            <w:shd w:fill="F8FAFC"/>
            <w:tcMar>
              <w:top w:w="70" w:type="dxa"/>
              <w:bottom w:w="70" w:type="dxa"/>
              <w:left w:w="70" w:type="dxa"/>
              <w:right w:w="70" w:type="dxa"/>
            </w:tcMar>
          </w:tcPr>
          <w:p>
            <w:r>
              <w:rPr>
                <w:sz w:val="16"/>
              </w:rPr>
              <w:t>Bearer JWT</w:t>
            </w:r>
          </w:p>
        </w:tc>
        <w:tc>
          <w:tcPr>
            <w:tcW w:type="dxa" w:w="1560"/>
            <w:shd w:fill="F8FAFC"/>
            <w:tcMar>
              <w:top w:w="70" w:type="dxa"/>
              <w:bottom w:w="70" w:type="dxa"/>
              <w:left w:w="70" w:type="dxa"/>
              <w:right w:w="70" w:type="dxa"/>
            </w:tcMar>
          </w:tcPr>
          <w:p>
            <w:r>
              <w:rPr>
                <w:sz w:val="16"/>
              </w:rPr>
              <w:t>facility_id query</w:t>
            </w:r>
          </w:p>
        </w:tc>
        <w:tc>
          <w:tcPr>
            <w:tcW w:type="dxa" w:w="1560"/>
            <w:shd w:fill="F8FAFC"/>
            <w:tcMar>
              <w:top w:w="70" w:type="dxa"/>
              <w:bottom w:w="70" w:type="dxa"/>
              <w:left w:w="70" w:type="dxa"/>
              <w:right w:w="70" w:type="dxa"/>
            </w:tcMar>
          </w:tcPr>
          <w:p>
            <w:r>
              <w:rPr>
                <w:sz w:val="16"/>
              </w:rPr>
              <w:t>List of smart meters, capacities &amp; calibration</w:t>
            </w:r>
          </w:p>
        </w:tc>
        <w:tc>
          <w:tcPr>
            <w:tcW w:type="dxa" w:w="1560"/>
            <w:shd w:fill="F8FAFC"/>
            <w:tcMar>
              <w:top w:w="70" w:type="dxa"/>
              <w:bottom w:w="70" w:type="dxa"/>
              <w:left w:w="70" w:type="dxa"/>
              <w:right w:w="70" w:type="dxa"/>
            </w:tcMar>
          </w:tcPr>
          <w:p>
            <w:r>
              <w:rPr>
                <w:sz w:val="16"/>
              </w:rPr>
              <w:t>200 OK</w:t>
            </w:r>
          </w:p>
        </w:tc>
      </w:tr>
      <w:tr>
        <w:tc>
          <w:tcPr>
            <w:tcW w:type="dxa" w:w="1560"/>
            <w:shd w:fill="FFFFFF"/>
            <w:tcMar>
              <w:top w:w="70" w:type="dxa"/>
              <w:bottom w:w="70" w:type="dxa"/>
              <w:left w:w="70" w:type="dxa"/>
              <w:right w:w="70" w:type="dxa"/>
            </w:tcMar>
          </w:tcPr>
          <w:p>
            <w:r>
              <w:rPr>
                <w:b/>
                <w:color w:val="064E3B"/>
                <w:sz w:val="16"/>
              </w:rPr>
              <w:t>GET</w:t>
            </w:r>
          </w:p>
        </w:tc>
        <w:tc>
          <w:tcPr>
            <w:tcW w:type="dxa" w:w="1560"/>
            <w:shd w:fill="FFFFFF"/>
            <w:tcMar>
              <w:top w:w="70" w:type="dxa"/>
              <w:bottom w:w="70" w:type="dxa"/>
              <w:left w:w="70" w:type="dxa"/>
              <w:right w:w="70" w:type="dxa"/>
            </w:tcMar>
          </w:tcPr>
          <w:p>
            <w:r>
              <w:rPr>
                <w:sz w:val="16"/>
              </w:rPr>
              <w:t>/api/v1/energy/telemetry/</w:t>
            </w:r>
          </w:p>
        </w:tc>
        <w:tc>
          <w:tcPr>
            <w:tcW w:type="dxa" w:w="1560"/>
            <w:shd w:fill="FFFFFF"/>
            <w:tcMar>
              <w:top w:w="70" w:type="dxa"/>
              <w:bottom w:w="70" w:type="dxa"/>
              <w:left w:w="70" w:type="dxa"/>
              <w:right w:w="70" w:type="dxa"/>
            </w:tcMar>
          </w:tcPr>
          <w:p>
            <w:r>
              <w:rPr>
                <w:sz w:val="16"/>
              </w:rPr>
              <w:t>Bearer JWT</w:t>
            </w:r>
          </w:p>
        </w:tc>
        <w:tc>
          <w:tcPr>
            <w:tcW w:type="dxa" w:w="1560"/>
            <w:shd w:fill="FFFFFF"/>
            <w:tcMar>
              <w:top w:w="70" w:type="dxa"/>
              <w:bottom w:w="70" w:type="dxa"/>
              <w:left w:w="70" w:type="dxa"/>
              <w:right w:w="70" w:type="dxa"/>
            </w:tcMar>
          </w:tcPr>
          <w:p>
            <w:r>
              <w:rPr>
                <w:sz w:val="16"/>
              </w:rPr>
              <w:t>meter_id, range</w:t>
            </w:r>
          </w:p>
        </w:tc>
        <w:tc>
          <w:tcPr>
            <w:tcW w:type="dxa" w:w="1560"/>
            <w:shd w:fill="FFFFFF"/>
            <w:tcMar>
              <w:top w:w="70" w:type="dxa"/>
              <w:bottom w:w="70" w:type="dxa"/>
              <w:left w:w="70" w:type="dxa"/>
              <w:right w:w="70" w:type="dxa"/>
            </w:tcMar>
          </w:tcPr>
          <w:p>
            <w:r>
              <w:rPr>
                <w:sz w:val="16"/>
              </w:rPr>
              <w:t>Instantaneous kW, kWh, kVAR, PF, THD readings</w:t>
            </w:r>
          </w:p>
        </w:tc>
        <w:tc>
          <w:tcPr>
            <w:tcW w:type="dxa" w:w="1560"/>
            <w:shd w:fill="FFFFFF"/>
            <w:tcMar>
              <w:top w:w="70" w:type="dxa"/>
              <w:bottom w:w="70" w:type="dxa"/>
              <w:left w:w="70" w:type="dxa"/>
              <w:right w:w="70" w:type="dxa"/>
            </w:tcMar>
          </w:tcPr>
          <w:p>
            <w:r>
              <w:rPr>
                <w:sz w:val="16"/>
              </w:rPr>
              <w:t>200 OK</w:t>
            </w:r>
          </w:p>
        </w:tc>
      </w:tr>
      <w:tr>
        <w:tc>
          <w:tcPr>
            <w:tcW w:type="dxa" w:w="1560"/>
            <w:shd w:fill="F8FAFC"/>
            <w:tcMar>
              <w:top w:w="70" w:type="dxa"/>
              <w:bottom w:w="70" w:type="dxa"/>
              <w:left w:w="70" w:type="dxa"/>
              <w:right w:w="70" w:type="dxa"/>
            </w:tcMar>
          </w:tcPr>
          <w:p>
            <w:r>
              <w:rPr>
                <w:b/>
                <w:color w:val="064E3B"/>
                <w:sz w:val="16"/>
              </w:rPr>
              <w:t>GET</w:t>
            </w:r>
          </w:p>
        </w:tc>
        <w:tc>
          <w:tcPr>
            <w:tcW w:type="dxa" w:w="1560"/>
            <w:shd w:fill="F8FAFC"/>
            <w:tcMar>
              <w:top w:w="70" w:type="dxa"/>
              <w:bottom w:w="70" w:type="dxa"/>
              <w:left w:w="70" w:type="dxa"/>
              <w:right w:w="70" w:type="dxa"/>
            </w:tcMar>
          </w:tcPr>
          <w:p>
            <w:r>
              <w:rPr>
                <w:sz w:val="16"/>
              </w:rPr>
              <w:t>/api/v1/energy/daily-aggregates/</w:t>
            </w:r>
          </w:p>
        </w:tc>
        <w:tc>
          <w:tcPr>
            <w:tcW w:type="dxa" w:w="1560"/>
            <w:shd w:fill="F8FAFC"/>
            <w:tcMar>
              <w:top w:w="70" w:type="dxa"/>
              <w:bottom w:w="70" w:type="dxa"/>
              <w:left w:w="70" w:type="dxa"/>
              <w:right w:w="70" w:type="dxa"/>
            </w:tcMar>
          </w:tcPr>
          <w:p>
            <w:r>
              <w:rPr>
                <w:sz w:val="16"/>
              </w:rPr>
              <w:t>Bearer JWT</w:t>
            </w:r>
          </w:p>
        </w:tc>
        <w:tc>
          <w:tcPr>
            <w:tcW w:type="dxa" w:w="1560"/>
            <w:shd w:fill="F8FAFC"/>
            <w:tcMar>
              <w:top w:w="70" w:type="dxa"/>
              <w:bottom w:w="70" w:type="dxa"/>
              <w:left w:w="70" w:type="dxa"/>
              <w:right w:w="70" w:type="dxa"/>
            </w:tcMar>
          </w:tcPr>
          <w:p>
            <w:r>
              <w:rPr>
                <w:sz w:val="16"/>
              </w:rPr>
              <w:t>facility_id, dates</w:t>
            </w:r>
          </w:p>
        </w:tc>
        <w:tc>
          <w:tcPr>
            <w:tcW w:type="dxa" w:w="1560"/>
            <w:shd w:fill="F8FAFC"/>
            <w:tcMar>
              <w:top w:w="70" w:type="dxa"/>
              <w:bottom w:w="70" w:type="dxa"/>
              <w:left w:w="70" w:type="dxa"/>
              <w:right w:w="70" w:type="dxa"/>
            </w:tcMar>
          </w:tcPr>
          <w:p>
            <w:r>
              <w:rPr>
                <w:sz w:val="16"/>
              </w:rPr>
              <w:t>Daily total kWh, peak kW, avg PF rollups</w:t>
            </w:r>
          </w:p>
        </w:tc>
        <w:tc>
          <w:tcPr>
            <w:tcW w:type="dxa" w:w="1560"/>
            <w:shd w:fill="F8FAFC"/>
            <w:tcMar>
              <w:top w:w="70" w:type="dxa"/>
              <w:bottom w:w="70" w:type="dxa"/>
              <w:left w:w="70" w:type="dxa"/>
              <w:right w:w="70" w:type="dxa"/>
            </w:tcMar>
          </w:tcPr>
          <w:p>
            <w:r>
              <w:rPr>
                <w:sz w:val="16"/>
              </w:rPr>
              <w:t>200 OK</w:t>
            </w:r>
          </w:p>
        </w:tc>
      </w:tr>
      <w:tr>
        <w:tc>
          <w:tcPr>
            <w:tcW w:type="dxa" w:w="1560"/>
            <w:shd w:fill="FFFFFF"/>
            <w:tcMar>
              <w:top w:w="70" w:type="dxa"/>
              <w:bottom w:w="70" w:type="dxa"/>
              <w:left w:w="70" w:type="dxa"/>
              <w:right w:w="70" w:type="dxa"/>
            </w:tcMar>
          </w:tcPr>
          <w:p>
            <w:r>
              <w:rPr>
                <w:b/>
                <w:color w:val="064E3B"/>
                <w:sz w:val="16"/>
              </w:rPr>
              <w:t>GET</w:t>
            </w:r>
          </w:p>
        </w:tc>
        <w:tc>
          <w:tcPr>
            <w:tcW w:type="dxa" w:w="1560"/>
            <w:shd w:fill="FFFFFF"/>
            <w:tcMar>
              <w:top w:w="70" w:type="dxa"/>
              <w:bottom w:w="70" w:type="dxa"/>
              <w:left w:w="70" w:type="dxa"/>
              <w:right w:w="70" w:type="dxa"/>
            </w:tcMar>
          </w:tcPr>
          <w:p>
            <w:r>
              <w:rPr>
                <w:sz w:val="16"/>
              </w:rPr>
              <w:t>/api/v1/renewable/solar/</w:t>
            </w:r>
          </w:p>
        </w:tc>
        <w:tc>
          <w:tcPr>
            <w:tcW w:type="dxa" w:w="1560"/>
            <w:shd w:fill="FFFFFF"/>
            <w:tcMar>
              <w:top w:w="70" w:type="dxa"/>
              <w:bottom w:w="70" w:type="dxa"/>
              <w:left w:w="70" w:type="dxa"/>
              <w:right w:w="70" w:type="dxa"/>
            </w:tcMar>
          </w:tcPr>
          <w:p>
            <w:r>
              <w:rPr>
                <w:sz w:val="16"/>
              </w:rPr>
              <w:t>Bearer JWT</w:t>
            </w:r>
          </w:p>
        </w:tc>
        <w:tc>
          <w:tcPr>
            <w:tcW w:type="dxa" w:w="1560"/>
            <w:shd w:fill="FFFFFF"/>
            <w:tcMar>
              <w:top w:w="70" w:type="dxa"/>
              <w:bottom w:w="70" w:type="dxa"/>
              <w:left w:w="70" w:type="dxa"/>
              <w:right w:w="70" w:type="dxa"/>
            </w:tcMar>
          </w:tcPr>
          <w:p>
            <w:r>
              <w:rPr>
                <w:sz w:val="16"/>
              </w:rPr>
              <w:t>facility_id</w:t>
            </w:r>
          </w:p>
        </w:tc>
        <w:tc>
          <w:tcPr>
            <w:tcW w:type="dxa" w:w="1560"/>
            <w:shd w:fill="FFFFFF"/>
            <w:tcMar>
              <w:top w:w="70" w:type="dxa"/>
              <w:bottom w:w="70" w:type="dxa"/>
              <w:left w:w="70" w:type="dxa"/>
              <w:right w:w="70" w:type="dxa"/>
            </w:tcMar>
          </w:tcPr>
          <w:p>
            <w:r>
              <w:rPr>
                <w:sz w:val="16"/>
              </w:rPr>
              <w:t>Solar arrays, capacity kW, yield &amp; efficiency</w:t>
            </w:r>
          </w:p>
        </w:tc>
        <w:tc>
          <w:tcPr>
            <w:tcW w:type="dxa" w:w="1560"/>
            <w:shd w:fill="FFFFFF"/>
            <w:tcMar>
              <w:top w:w="70" w:type="dxa"/>
              <w:bottom w:w="70" w:type="dxa"/>
              <w:left w:w="70" w:type="dxa"/>
              <w:right w:w="70" w:type="dxa"/>
            </w:tcMar>
          </w:tcPr>
          <w:p>
            <w:r>
              <w:rPr>
                <w:sz w:val="16"/>
              </w:rPr>
              <w:t>200 OK</w:t>
            </w:r>
          </w:p>
        </w:tc>
      </w:tr>
      <w:tr>
        <w:tc>
          <w:tcPr>
            <w:tcW w:type="dxa" w:w="1560"/>
            <w:shd w:fill="F8FAFC"/>
            <w:tcMar>
              <w:top w:w="70" w:type="dxa"/>
              <w:bottom w:w="70" w:type="dxa"/>
              <w:left w:w="70" w:type="dxa"/>
              <w:right w:w="70" w:type="dxa"/>
            </w:tcMar>
          </w:tcPr>
          <w:p>
            <w:r>
              <w:rPr>
                <w:b/>
                <w:color w:val="064E3B"/>
                <w:sz w:val="16"/>
              </w:rPr>
              <w:t>GET</w:t>
            </w:r>
          </w:p>
        </w:tc>
        <w:tc>
          <w:tcPr>
            <w:tcW w:type="dxa" w:w="1560"/>
            <w:shd w:fill="F8FAFC"/>
            <w:tcMar>
              <w:top w:w="70" w:type="dxa"/>
              <w:bottom w:w="70" w:type="dxa"/>
              <w:left w:w="70" w:type="dxa"/>
              <w:right w:w="70" w:type="dxa"/>
            </w:tcMar>
          </w:tcPr>
          <w:p>
            <w:r>
              <w:rPr>
                <w:sz w:val="16"/>
              </w:rPr>
              <w:t>/api/v1/renewable/bess/</w:t>
            </w:r>
          </w:p>
        </w:tc>
        <w:tc>
          <w:tcPr>
            <w:tcW w:type="dxa" w:w="1560"/>
            <w:shd w:fill="F8FAFC"/>
            <w:tcMar>
              <w:top w:w="70" w:type="dxa"/>
              <w:bottom w:w="70" w:type="dxa"/>
              <w:left w:w="70" w:type="dxa"/>
              <w:right w:w="70" w:type="dxa"/>
            </w:tcMar>
          </w:tcPr>
          <w:p>
            <w:r>
              <w:rPr>
                <w:sz w:val="16"/>
              </w:rPr>
              <w:t>Bearer JWT</w:t>
            </w:r>
          </w:p>
        </w:tc>
        <w:tc>
          <w:tcPr>
            <w:tcW w:type="dxa" w:w="1560"/>
            <w:shd w:fill="F8FAFC"/>
            <w:tcMar>
              <w:top w:w="70" w:type="dxa"/>
              <w:bottom w:w="70" w:type="dxa"/>
              <w:left w:w="70" w:type="dxa"/>
              <w:right w:w="70" w:type="dxa"/>
            </w:tcMar>
          </w:tcPr>
          <w:p>
            <w:r>
              <w:rPr>
                <w:sz w:val="16"/>
              </w:rPr>
              <w:t>none</w:t>
            </w:r>
          </w:p>
        </w:tc>
        <w:tc>
          <w:tcPr>
            <w:tcW w:type="dxa" w:w="1560"/>
            <w:shd w:fill="F8FAFC"/>
            <w:tcMar>
              <w:top w:w="70" w:type="dxa"/>
              <w:bottom w:w="70" w:type="dxa"/>
              <w:left w:w="70" w:type="dxa"/>
              <w:right w:w="70" w:type="dxa"/>
            </w:tcMar>
          </w:tcPr>
          <w:p>
            <w:r>
              <w:rPr>
                <w:sz w:val="16"/>
              </w:rPr>
              <w:t>BESS battery SoC %, charge rate &amp; temperature</w:t>
            </w:r>
          </w:p>
        </w:tc>
        <w:tc>
          <w:tcPr>
            <w:tcW w:type="dxa" w:w="1560"/>
            <w:shd w:fill="F8FAFC"/>
            <w:tcMar>
              <w:top w:w="70" w:type="dxa"/>
              <w:bottom w:w="70" w:type="dxa"/>
              <w:left w:w="70" w:type="dxa"/>
              <w:right w:w="70" w:type="dxa"/>
            </w:tcMar>
          </w:tcPr>
          <w:p>
            <w:r>
              <w:rPr>
                <w:sz w:val="16"/>
              </w:rPr>
              <w:t>200 OK</w:t>
            </w:r>
          </w:p>
        </w:tc>
      </w:tr>
      <w:tr>
        <w:tc>
          <w:tcPr>
            <w:tcW w:type="dxa" w:w="1560"/>
            <w:shd w:fill="FFFFFF"/>
            <w:tcMar>
              <w:top w:w="70" w:type="dxa"/>
              <w:bottom w:w="70" w:type="dxa"/>
              <w:left w:w="70" w:type="dxa"/>
              <w:right w:w="70" w:type="dxa"/>
            </w:tcMar>
          </w:tcPr>
          <w:p>
            <w:r>
              <w:rPr>
                <w:b/>
                <w:color w:val="064E3B"/>
                <w:sz w:val="16"/>
              </w:rPr>
              <w:t>GET</w:t>
            </w:r>
          </w:p>
        </w:tc>
        <w:tc>
          <w:tcPr>
            <w:tcW w:type="dxa" w:w="1560"/>
            <w:shd w:fill="FFFFFF"/>
            <w:tcMar>
              <w:top w:w="70" w:type="dxa"/>
              <w:bottom w:w="70" w:type="dxa"/>
              <w:left w:w="70" w:type="dxa"/>
              <w:right w:w="70" w:type="dxa"/>
            </w:tcMar>
          </w:tcPr>
          <w:p>
            <w:r>
              <w:rPr>
                <w:sz w:val="16"/>
              </w:rPr>
              <w:t>/api/v1/billing/bills/</w:t>
            </w:r>
          </w:p>
        </w:tc>
        <w:tc>
          <w:tcPr>
            <w:tcW w:type="dxa" w:w="1560"/>
            <w:shd w:fill="FFFFFF"/>
            <w:tcMar>
              <w:top w:w="70" w:type="dxa"/>
              <w:bottom w:w="70" w:type="dxa"/>
              <w:left w:w="70" w:type="dxa"/>
              <w:right w:w="70" w:type="dxa"/>
            </w:tcMar>
          </w:tcPr>
          <w:p>
            <w:r>
              <w:rPr>
                <w:sz w:val="16"/>
              </w:rPr>
              <w:t>Bearer JWT</w:t>
            </w:r>
          </w:p>
        </w:tc>
        <w:tc>
          <w:tcPr>
            <w:tcW w:type="dxa" w:w="1560"/>
            <w:shd w:fill="FFFFFF"/>
            <w:tcMar>
              <w:top w:w="70" w:type="dxa"/>
              <w:bottom w:w="70" w:type="dxa"/>
              <w:left w:w="70" w:type="dxa"/>
              <w:right w:w="70" w:type="dxa"/>
            </w:tcMar>
          </w:tcPr>
          <w:p>
            <w:r>
              <w:rPr>
                <w:sz w:val="16"/>
              </w:rPr>
              <w:t>facility_id, period</w:t>
            </w:r>
          </w:p>
        </w:tc>
        <w:tc>
          <w:tcPr>
            <w:tcW w:type="dxa" w:w="1560"/>
            <w:shd w:fill="FFFFFF"/>
            <w:tcMar>
              <w:top w:w="70" w:type="dxa"/>
              <w:bottom w:w="70" w:type="dxa"/>
              <w:left w:w="70" w:type="dxa"/>
              <w:right w:w="70" w:type="dxa"/>
            </w:tcMar>
          </w:tcPr>
          <w:p>
            <w:r>
              <w:rPr>
                <w:sz w:val="16"/>
              </w:rPr>
              <w:t>List of calculated utility bills and ledger</w:t>
            </w:r>
          </w:p>
        </w:tc>
        <w:tc>
          <w:tcPr>
            <w:tcW w:type="dxa" w:w="1560"/>
            <w:shd w:fill="FFFFFF"/>
            <w:tcMar>
              <w:top w:w="70" w:type="dxa"/>
              <w:bottom w:w="70" w:type="dxa"/>
              <w:left w:w="70" w:type="dxa"/>
              <w:right w:w="70" w:type="dxa"/>
            </w:tcMar>
          </w:tcPr>
          <w:p>
            <w:r>
              <w:rPr>
                <w:sz w:val="16"/>
              </w:rPr>
              <w:t>200 OK</w:t>
            </w:r>
          </w:p>
        </w:tc>
      </w:tr>
      <w:tr>
        <w:tc>
          <w:tcPr>
            <w:tcW w:type="dxa" w:w="1560"/>
            <w:shd w:fill="F8FAFC"/>
            <w:tcMar>
              <w:top w:w="70" w:type="dxa"/>
              <w:bottom w:w="70" w:type="dxa"/>
              <w:left w:w="70" w:type="dxa"/>
              <w:right w:w="70" w:type="dxa"/>
            </w:tcMar>
          </w:tcPr>
          <w:p>
            <w:r>
              <w:rPr>
                <w:b/>
                <w:color w:val="064E3B"/>
                <w:sz w:val="16"/>
              </w:rPr>
              <w:t>GET</w:t>
            </w:r>
          </w:p>
        </w:tc>
        <w:tc>
          <w:tcPr>
            <w:tcW w:type="dxa" w:w="1560"/>
            <w:shd w:fill="F8FAFC"/>
            <w:tcMar>
              <w:top w:w="70" w:type="dxa"/>
              <w:bottom w:w="70" w:type="dxa"/>
              <w:left w:w="70" w:type="dxa"/>
              <w:right w:w="70" w:type="dxa"/>
            </w:tcMar>
          </w:tcPr>
          <w:p>
            <w:r>
              <w:rPr>
                <w:sz w:val="16"/>
              </w:rPr>
              <w:t>/api/v1/billing/export.csv</w:t>
            </w:r>
          </w:p>
        </w:tc>
        <w:tc>
          <w:tcPr>
            <w:tcW w:type="dxa" w:w="1560"/>
            <w:shd w:fill="F8FAFC"/>
            <w:tcMar>
              <w:top w:w="70" w:type="dxa"/>
              <w:bottom w:w="70" w:type="dxa"/>
              <w:left w:w="70" w:type="dxa"/>
              <w:right w:w="70" w:type="dxa"/>
            </w:tcMar>
          </w:tcPr>
          <w:p>
            <w:r>
              <w:rPr>
                <w:sz w:val="16"/>
              </w:rPr>
              <w:t>Bearer JWT</w:t>
            </w:r>
          </w:p>
        </w:tc>
        <w:tc>
          <w:tcPr>
            <w:tcW w:type="dxa" w:w="1560"/>
            <w:shd w:fill="F8FAFC"/>
            <w:tcMar>
              <w:top w:w="70" w:type="dxa"/>
              <w:bottom w:w="70" w:type="dxa"/>
              <w:left w:w="70" w:type="dxa"/>
              <w:right w:w="70" w:type="dxa"/>
            </w:tcMar>
          </w:tcPr>
          <w:p>
            <w:r>
              <w:rPr>
                <w:sz w:val="16"/>
              </w:rPr>
              <w:t>billing_id</w:t>
            </w:r>
          </w:p>
        </w:tc>
        <w:tc>
          <w:tcPr>
            <w:tcW w:type="dxa" w:w="1560"/>
            <w:shd w:fill="F8FAFC"/>
            <w:tcMar>
              <w:top w:w="70" w:type="dxa"/>
              <w:bottom w:w="70" w:type="dxa"/>
              <w:left w:w="70" w:type="dxa"/>
              <w:right w:w="70" w:type="dxa"/>
            </w:tcMar>
          </w:tcPr>
          <w:p>
            <w:r>
              <w:rPr>
                <w:sz w:val="16"/>
              </w:rPr>
              <w:t>Downloadable statutory billing CSV invoice</w:t>
            </w:r>
          </w:p>
        </w:tc>
        <w:tc>
          <w:tcPr>
            <w:tcW w:type="dxa" w:w="1560"/>
            <w:shd w:fill="F8FAFC"/>
            <w:tcMar>
              <w:top w:w="70" w:type="dxa"/>
              <w:bottom w:w="70" w:type="dxa"/>
              <w:left w:w="70" w:type="dxa"/>
              <w:right w:w="70" w:type="dxa"/>
            </w:tcMar>
          </w:tcPr>
          <w:p>
            <w:r>
              <w:rPr>
                <w:sz w:val="16"/>
              </w:rPr>
              <w:t>200 OK</w:t>
            </w:r>
          </w:p>
        </w:tc>
      </w:tr>
      <w:tr>
        <w:tc>
          <w:tcPr>
            <w:tcW w:type="dxa" w:w="1560"/>
            <w:shd w:fill="FFFFFF"/>
            <w:tcMar>
              <w:top w:w="70" w:type="dxa"/>
              <w:bottom w:w="70" w:type="dxa"/>
              <w:left w:w="70" w:type="dxa"/>
              <w:right w:w="70" w:type="dxa"/>
            </w:tcMar>
          </w:tcPr>
          <w:p>
            <w:r>
              <w:rPr>
                <w:b/>
                <w:color w:val="064E3B"/>
                <w:sz w:val="16"/>
              </w:rPr>
              <w:t>GET</w:t>
            </w:r>
          </w:p>
        </w:tc>
        <w:tc>
          <w:tcPr>
            <w:tcW w:type="dxa" w:w="1560"/>
            <w:shd w:fill="FFFFFF"/>
            <w:tcMar>
              <w:top w:w="70" w:type="dxa"/>
              <w:bottom w:w="70" w:type="dxa"/>
              <w:left w:w="70" w:type="dxa"/>
              <w:right w:w="70" w:type="dxa"/>
            </w:tcMar>
          </w:tcPr>
          <w:p>
            <w:r>
              <w:rPr>
                <w:sz w:val="16"/>
              </w:rPr>
              <w:t>/api/v1/analytics/metrology/</w:t>
            </w:r>
          </w:p>
        </w:tc>
        <w:tc>
          <w:tcPr>
            <w:tcW w:type="dxa" w:w="1560"/>
            <w:shd w:fill="FFFFFF"/>
            <w:tcMar>
              <w:top w:w="70" w:type="dxa"/>
              <w:bottom w:w="70" w:type="dxa"/>
              <w:left w:w="70" w:type="dxa"/>
              <w:right w:w="70" w:type="dxa"/>
            </w:tcMar>
          </w:tcPr>
          <w:p>
            <w:r>
              <w:rPr>
                <w:sz w:val="16"/>
              </w:rPr>
              <w:t>Bearer JWT</w:t>
            </w:r>
          </w:p>
        </w:tc>
        <w:tc>
          <w:tcPr>
            <w:tcW w:type="dxa" w:w="1560"/>
            <w:shd w:fill="FFFFFF"/>
            <w:tcMar>
              <w:top w:w="70" w:type="dxa"/>
              <w:bottom w:w="70" w:type="dxa"/>
              <w:left w:w="70" w:type="dxa"/>
              <w:right w:w="70" w:type="dxa"/>
            </w:tcMar>
          </w:tcPr>
          <w:p>
            <w:r>
              <w:rPr>
                <w:sz w:val="16"/>
              </w:rPr>
              <w:t>facility_id, range</w:t>
            </w:r>
          </w:p>
        </w:tc>
        <w:tc>
          <w:tcPr>
            <w:tcW w:type="dxa" w:w="1560"/>
            <w:shd w:fill="FFFFFF"/>
            <w:tcMar>
              <w:top w:w="70" w:type="dxa"/>
              <w:bottom w:w="70" w:type="dxa"/>
              <w:left w:w="70" w:type="dxa"/>
              <w:right w:w="70" w:type="dxa"/>
            </w:tcMar>
          </w:tcPr>
          <w:p>
            <w:r>
              <w:rPr>
                <w:sz w:val="16"/>
              </w:rPr>
              <w:t>Power factor distribution, reactive kVAR, THD</w:t>
            </w:r>
          </w:p>
        </w:tc>
        <w:tc>
          <w:tcPr>
            <w:tcW w:type="dxa" w:w="1560"/>
            <w:shd w:fill="FFFFFF"/>
            <w:tcMar>
              <w:top w:w="70" w:type="dxa"/>
              <w:bottom w:w="70" w:type="dxa"/>
              <w:left w:w="70" w:type="dxa"/>
              <w:right w:w="70" w:type="dxa"/>
            </w:tcMar>
          </w:tcPr>
          <w:p>
            <w:r>
              <w:rPr>
                <w:sz w:val="16"/>
              </w:rPr>
              <w:t>200 OK</w:t>
            </w:r>
          </w:p>
        </w:tc>
      </w:tr>
      <w:tr>
        <w:tc>
          <w:tcPr>
            <w:tcW w:type="dxa" w:w="1560"/>
            <w:shd w:fill="F8FAFC"/>
            <w:tcMar>
              <w:top w:w="70" w:type="dxa"/>
              <w:bottom w:w="70" w:type="dxa"/>
              <w:left w:w="70" w:type="dxa"/>
              <w:right w:w="70" w:type="dxa"/>
            </w:tcMar>
          </w:tcPr>
          <w:p>
            <w:r>
              <w:rPr>
                <w:b/>
                <w:color w:val="064E3B"/>
                <w:sz w:val="16"/>
              </w:rPr>
              <w:t>GET</w:t>
            </w:r>
          </w:p>
        </w:tc>
        <w:tc>
          <w:tcPr>
            <w:tcW w:type="dxa" w:w="1560"/>
            <w:shd w:fill="F8FAFC"/>
            <w:tcMar>
              <w:top w:w="70" w:type="dxa"/>
              <w:bottom w:w="70" w:type="dxa"/>
              <w:left w:w="70" w:type="dxa"/>
              <w:right w:w="70" w:type="dxa"/>
            </w:tcMar>
          </w:tcPr>
          <w:p>
            <w:r>
              <w:rPr>
                <w:sz w:val="16"/>
              </w:rPr>
              <w:t>/api/v1/forecast/demand/</w:t>
            </w:r>
          </w:p>
        </w:tc>
        <w:tc>
          <w:tcPr>
            <w:tcW w:type="dxa" w:w="1560"/>
            <w:shd w:fill="F8FAFC"/>
            <w:tcMar>
              <w:top w:w="70" w:type="dxa"/>
              <w:bottom w:w="70" w:type="dxa"/>
              <w:left w:w="70" w:type="dxa"/>
              <w:right w:w="70" w:type="dxa"/>
            </w:tcMar>
          </w:tcPr>
          <w:p>
            <w:r>
              <w:rPr>
                <w:sz w:val="16"/>
              </w:rPr>
              <w:t>Bearer JWT</w:t>
            </w:r>
          </w:p>
        </w:tc>
        <w:tc>
          <w:tcPr>
            <w:tcW w:type="dxa" w:w="1560"/>
            <w:shd w:fill="F8FAFC"/>
            <w:tcMar>
              <w:top w:w="70" w:type="dxa"/>
              <w:bottom w:w="70" w:type="dxa"/>
              <w:left w:w="70" w:type="dxa"/>
              <w:right w:w="70" w:type="dxa"/>
            </w:tcMar>
          </w:tcPr>
          <w:p>
            <w:r>
              <w:rPr>
                <w:sz w:val="16"/>
              </w:rPr>
              <w:t>horizon_days (1-14)</w:t>
            </w:r>
          </w:p>
        </w:tc>
        <w:tc>
          <w:tcPr>
            <w:tcW w:type="dxa" w:w="1560"/>
            <w:shd w:fill="F8FAFC"/>
            <w:tcMar>
              <w:top w:w="70" w:type="dxa"/>
              <w:bottom w:w="70" w:type="dxa"/>
              <w:left w:w="70" w:type="dxa"/>
              <w:right w:w="70" w:type="dxa"/>
            </w:tcMar>
          </w:tcPr>
          <w:p>
            <w:r>
              <w:rPr>
                <w:sz w:val="16"/>
              </w:rPr>
              <w:t>Predicted peak kW, total kWh &amp; confidence</w:t>
            </w:r>
          </w:p>
        </w:tc>
        <w:tc>
          <w:tcPr>
            <w:tcW w:type="dxa" w:w="1560"/>
            <w:shd w:fill="F8FAFC"/>
            <w:tcMar>
              <w:top w:w="70" w:type="dxa"/>
              <w:bottom w:w="70" w:type="dxa"/>
              <w:left w:w="70" w:type="dxa"/>
              <w:right w:w="70" w:type="dxa"/>
            </w:tcMar>
          </w:tcPr>
          <w:p>
            <w:r>
              <w:rPr>
                <w:sz w:val="16"/>
              </w:rPr>
              <w:t>200 OK</w:t>
            </w:r>
          </w:p>
        </w:tc>
      </w:tr>
      <w:tr>
        <w:tc>
          <w:tcPr>
            <w:tcW w:type="dxa" w:w="1560"/>
            <w:shd w:fill="FFFFFF"/>
            <w:tcMar>
              <w:top w:w="70" w:type="dxa"/>
              <w:bottom w:w="70" w:type="dxa"/>
              <w:left w:w="70" w:type="dxa"/>
              <w:right w:w="70" w:type="dxa"/>
            </w:tcMar>
          </w:tcPr>
          <w:p>
            <w:r>
              <w:rPr>
                <w:b/>
                <w:color w:val="064E3B"/>
                <w:sz w:val="16"/>
              </w:rPr>
              <w:t>GET</w:t>
            </w:r>
          </w:p>
        </w:tc>
        <w:tc>
          <w:tcPr>
            <w:tcW w:type="dxa" w:w="1560"/>
            <w:shd w:fill="FFFFFF"/>
            <w:tcMar>
              <w:top w:w="70" w:type="dxa"/>
              <w:bottom w:w="70" w:type="dxa"/>
              <w:left w:w="70" w:type="dxa"/>
              <w:right w:w="70" w:type="dxa"/>
            </w:tcMar>
          </w:tcPr>
          <w:p>
            <w:r>
              <w:rPr>
                <w:sz w:val="16"/>
              </w:rPr>
              <w:t>/api/v1/alerts/</w:t>
            </w:r>
          </w:p>
        </w:tc>
        <w:tc>
          <w:tcPr>
            <w:tcW w:type="dxa" w:w="1560"/>
            <w:shd w:fill="FFFFFF"/>
            <w:tcMar>
              <w:top w:w="70" w:type="dxa"/>
              <w:bottom w:w="70" w:type="dxa"/>
              <w:left w:w="70" w:type="dxa"/>
              <w:right w:w="70" w:type="dxa"/>
            </w:tcMar>
          </w:tcPr>
          <w:p>
            <w:r>
              <w:rPr>
                <w:sz w:val="16"/>
              </w:rPr>
              <w:t>Bearer JWT</w:t>
            </w:r>
          </w:p>
        </w:tc>
        <w:tc>
          <w:tcPr>
            <w:tcW w:type="dxa" w:w="1560"/>
            <w:shd w:fill="FFFFFF"/>
            <w:tcMar>
              <w:top w:w="70" w:type="dxa"/>
              <w:bottom w:w="70" w:type="dxa"/>
              <w:left w:w="70" w:type="dxa"/>
              <w:right w:w="70" w:type="dxa"/>
            </w:tcMar>
          </w:tcPr>
          <w:p>
            <w:r>
              <w:rPr>
                <w:sz w:val="16"/>
              </w:rPr>
              <w:t>status, severity</w:t>
            </w:r>
          </w:p>
        </w:tc>
        <w:tc>
          <w:tcPr>
            <w:tcW w:type="dxa" w:w="1560"/>
            <w:shd w:fill="FFFFFF"/>
            <w:tcMar>
              <w:top w:w="70" w:type="dxa"/>
              <w:bottom w:w="70" w:type="dxa"/>
              <w:left w:w="70" w:type="dxa"/>
              <w:right w:w="70" w:type="dxa"/>
            </w:tcMar>
          </w:tcPr>
          <w:p>
            <w:r>
              <w:rPr>
                <w:sz w:val="16"/>
              </w:rPr>
              <w:t>List of active/resolved anomaly alerts</w:t>
            </w:r>
          </w:p>
        </w:tc>
        <w:tc>
          <w:tcPr>
            <w:tcW w:type="dxa" w:w="1560"/>
            <w:shd w:fill="FFFFFF"/>
            <w:tcMar>
              <w:top w:w="70" w:type="dxa"/>
              <w:bottom w:w="70" w:type="dxa"/>
              <w:left w:w="70" w:type="dxa"/>
              <w:right w:w="70" w:type="dxa"/>
            </w:tcMar>
          </w:tcPr>
          <w:p>
            <w:r>
              <w:rPr>
                <w:sz w:val="16"/>
              </w:rPr>
              <w:t>200 OK</w:t>
            </w:r>
          </w:p>
        </w:tc>
      </w:tr>
      <w:tr>
        <w:tc>
          <w:tcPr>
            <w:tcW w:type="dxa" w:w="1560"/>
            <w:shd w:fill="F8FAFC"/>
            <w:tcMar>
              <w:top w:w="70" w:type="dxa"/>
              <w:bottom w:w="70" w:type="dxa"/>
              <w:left w:w="70" w:type="dxa"/>
              <w:right w:w="70" w:type="dxa"/>
            </w:tcMar>
          </w:tcPr>
          <w:p>
            <w:r>
              <w:rPr>
                <w:b/>
                <w:color w:val="C2410C"/>
                <w:sz w:val="16"/>
              </w:rPr>
              <w:t>POST</w:t>
            </w:r>
          </w:p>
        </w:tc>
        <w:tc>
          <w:tcPr>
            <w:tcW w:type="dxa" w:w="1560"/>
            <w:shd w:fill="F8FAFC"/>
            <w:tcMar>
              <w:top w:w="70" w:type="dxa"/>
              <w:bottom w:w="70" w:type="dxa"/>
              <w:left w:w="70" w:type="dxa"/>
              <w:right w:w="70" w:type="dxa"/>
            </w:tcMar>
          </w:tcPr>
          <w:p>
            <w:r>
              <w:rPr>
                <w:sz w:val="16"/>
              </w:rPr>
              <w:t>/api/v1/alerts/{id}/acknowledge/</w:t>
            </w:r>
          </w:p>
        </w:tc>
        <w:tc>
          <w:tcPr>
            <w:tcW w:type="dxa" w:w="1560"/>
            <w:shd w:fill="F8FAFC"/>
            <w:tcMar>
              <w:top w:w="70" w:type="dxa"/>
              <w:bottom w:w="70" w:type="dxa"/>
              <w:left w:w="70" w:type="dxa"/>
              <w:right w:w="70" w:type="dxa"/>
            </w:tcMar>
          </w:tcPr>
          <w:p>
            <w:r>
              <w:rPr>
                <w:sz w:val="16"/>
              </w:rPr>
              <w:t>Bearer JWT</w:t>
            </w:r>
          </w:p>
        </w:tc>
        <w:tc>
          <w:tcPr>
            <w:tcW w:type="dxa" w:w="1560"/>
            <w:shd w:fill="F8FAFC"/>
            <w:tcMar>
              <w:top w:w="70" w:type="dxa"/>
              <w:bottom w:w="70" w:type="dxa"/>
              <w:left w:w="70" w:type="dxa"/>
              <w:right w:w="70" w:type="dxa"/>
            </w:tcMar>
          </w:tcPr>
          <w:p>
            <w:r>
              <w:rPr>
                <w:sz w:val="16"/>
              </w:rPr>
              <w:t>none</w:t>
            </w:r>
          </w:p>
        </w:tc>
        <w:tc>
          <w:tcPr>
            <w:tcW w:type="dxa" w:w="1560"/>
            <w:shd w:fill="F8FAFC"/>
            <w:tcMar>
              <w:top w:w="70" w:type="dxa"/>
              <w:bottom w:w="70" w:type="dxa"/>
              <w:left w:w="70" w:type="dxa"/>
              <w:right w:w="70" w:type="dxa"/>
            </w:tcMar>
          </w:tcPr>
          <w:p>
            <w:r>
              <w:rPr>
                <w:sz w:val="16"/>
              </w:rPr>
              <w:t>Updates alert status to acknowledged</w:t>
            </w:r>
          </w:p>
        </w:tc>
        <w:tc>
          <w:tcPr>
            <w:tcW w:type="dxa" w:w="1560"/>
            <w:shd w:fill="F8FAFC"/>
            <w:tcMar>
              <w:top w:w="70" w:type="dxa"/>
              <w:bottom w:w="70" w:type="dxa"/>
              <w:left w:w="70" w:type="dxa"/>
              <w:right w:w="70" w:type="dxa"/>
            </w:tcMar>
          </w:tcPr>
          <w:p>
            <w:r>
              <w:rPr>
                <w:sz w:val="16"/>
              </w:rPr>
              <w:t>200 OK</w:t>
            </w:r>
          </w:p>
        </w:tc>
      </w:tr>
      <w:tr>
        <w:tc>
          <w:tcPr>
            <w:tcW w:type="dxa" w:w="1560"/>
            <w:shd w:fill="FFFFFF"/>
            <w:tcMar>
              <w:top w:w="70" w:type="dxa"/>
              <w:bottom w:w="70" w:type="dxa"/>
              <w:left w:w="70" w:type="dxa"/>
              <w:right w:w="70" w:type="dxa"/>
            </w:tcMar>
          </w:tcPr>
          <w:p>
            <w:r>
              <w:rPr>
                <w:b/>
                <w:color w:val="C2410C"/>
                <w:sz w:val="16"/>
              </w:rPr>
              <w:t>POST</w:t>
            </w:r>
          </w:p>
        </w:tc>
        <w:tc>
          <w:tcPr>
            <w:tcW w:type="dxa" w:w="1560"/>
            <w:shd w:fill="FFFFFF"/>
            <w:tcMar>
              <w:top w:w="70" w:type="dxa"/>
              <w:bottom w:w="70" w:type="dxa"/>
              <w:left w:w="70" w:type="dxa"/>
              <w:right w:w="70" w:type="dxa"/>
            </w:tcMar>
          </w:tcPr>
          <w:p>
            <w:r>
              <w:rPr>
                <w:sz w:val="16"/>
              </w:rPr>
              <w:t>/api/v1/alerts/{id}/resolve/</w:t>
            </w:r>
          </w:p>
        </w:tc>
        <w:tc>
          <w:tcPr>
            <w:tcW w:type="dxa" w:w="1560"/>
            <w:shd w:fill="FFFFFF"/>
            <w:tcMar>
              <w:top w:w="70" w:type="dxa"/>
              <w:bottom w:w="70" w:type="dxa"/>
              <w:left w:w="70" w:type="dxa"/>
              <w:right w:w="70" w:type="dxa"/>
            </w:tcMar>
          </w:tcPr>
          <w:p>
            <w:r>
              <w:rPr>
                <w:sz w:val="16"/>
              </w:rPr>
              <w:t>Bearer JWT</w:t>
            </w:r>
          </w:p>
        </w:tc>
        <w:tc>
          <w:tcPr>
            <w:tcW w:type="dxa" w:w="1560"/>
            <w:shd w:fill="FFFFFF"/>
            <w:tcMar>
              <w:top w:w="70" w:type="dxa"/>
              <w:bottom w:w="70" w:type="dxa"/>
              <w:left w:w="70" w:type="dxa"/>
              <w:right w:w="70" w:type="dxa"/>
            </w:tcMar>
          </w:tcPr>
          <w:p>
            <w:r>
              <w:rPr>
                <w:sz w:val="16"/>
              </w:rPr>
              <w:t>none</w:t>
            </w:r>
          </w:p>
        </w:tc>
        <w:tc>
          <w:tcPr>
            <w:tcW w:type="dxa" w:w="1560"/>
            <w:shd w:fill="FFFFFF"/>
            <w:tcMar>
              <w:top w:w="70" w:type="dxa"/>
              <w:bottom w:w="70" w:type="dxa"/>
              <w:left w:w="70" w:type="dxa"/>
              <w:right w:w="70" w:type="dxa"/>
            </w:tcMar>
          </w:tcPr>
          <w:p>
            <w:r>
              <w:rPr>
                <w:sz w:val="16"/>
              </w:rPr>
              <w:t>Resolves alert and records timestamp</w:t>
            </w:r>
          </w:p>
        </w:tc>
        <w:tc>
          <w:tcPr>
            <w:tcW w:type="dxa" w:w="1560"/>
            <w:shd w:fill="FFFFFF"/>
            <w:tcMar>
              <w:top w:w="70" w:type="dxa"/>
              <w:bottom w:w="70" w:type="dxa"/>
              <w:left w:w="70" w:type="dxa"/>
              <w:right w:w="70" w:type="dxa"/>
            </w:tcMar>
          </w:tcPr>
          <w:p>
            <w:r>
              <w:rPr>
                <w:sz w:val="16"/>
              </w:rPr>
              <w:t>200 OK</w:t>
            </w:r>
          </w:p>
        </w:tc>
      </w:tr>
      <w:tr>
        <w:tc>
          <w:tcPr>
            <w:tcW w:type="dxa" w:w="1560"/>
            <w:shd w:fill="F8FAFC"/>
            <w:tcMar>
              <w:top w:w="70" w:type="dxa"/>
              <w:bottom w:w="70" w:type="dxa"/>
              <w:left w:w="70" w:type="dxa"/>
              <w:right w:w="70" w:type="dxa"/>
            </w:tcMar>
          </w:tcPr>
          <w:p>
            <w:r>
              <w:rPr>
                <w:b/>
                <w:color w:val="064E3B"/>
                <w:sz w:val="16"/>
              </w:rPr>
              <w:t>GET</w:t>
            </w:r>
          </w:p>
        </w:tc>
        <w:tc>
          <w:tcPr>
            <w:tcW w:type="dxa" w:w="1560"/>
            <w:shd w:fill="F8FAFC"/>
            <w:tcMar>
              <w:top w:w="70" w:type="dxa"/>
              <w:bottom w:w="70" w:type="dxa"/>
              <w:left w:w="70" w:type="dxa"/>
              <w:right w:w="70" w:type="dxa"/>
            </w:tcMar>
          </w:tcPr>
          <w:p>
            <w:r>
              <w:rPr>
                <w:sz w:val="16"/>
              </w:rPr>
              <w:t>/api/v1/reports/generated/</w:t>
            </w:r>
          </w:p>
        </w:tc>
        <w:tc>
          <w:tcPr>
            <w:tcW w:type="dxa" w:w="1560"/>
            <w:shd w:fill="F8FAFC"/>
            <w:tcMar>
              <w:top w:w="70" w:type="dxa"/>
              <w:bottom w:w="70" w:type="dxa"/>
              <w:left w:w="70" w:type="dxa"/>
              <w:right w:w="70" w:type="dxa"/>
            </w:tcMar>
          </w:tcPr>
          <w:p>
            <w:r>
              <w:rPr>
                <w:sz w:val="16"/>
              </w:rPr>
              <w:t>Bearer JWT</w:t>
            </w:r>
          </w:p>
        </w:tc>
        <w:tc>
          <w:tcPr>
            <w:tcW w:type="dxa" w:w="1560"/>
            <w:shd w:fill="F8FAFC"/>
            <w:tcMar>
              <w:top w:w="70" w:type="dxa"/>
              <w:bottom w:w="70" w:type="dxa"/>
              <w:left w:w="70" w:type="dxa"/>
              <w:right w:w="70" w:type="dxa"/>
            </w:tcMar>
          </w:tcPr>
          <w:p>
            <w:r>
              <w:rPr>
                <w:sz w:val="16"/>
              </w:rPr>
              <w:t>none</w:t>
            </w:r>
          </w:p>
        </w:tc>
        <w:tc>
          <w:tcPr>
            <w:tcW w:type="dxa" w:w="1560"/>
            <w:shd w:fill="F8FAFC"/>
            <w:tcMar>
              <w:top w:w="70" w:type="dxa"/>
              <w:bottom w:w="70" w:type="dxa"/>
              <w:left w:w="70" w:type="dxa"/>
              <w:right w:w="70" w:type="dxa"/>
            </w:tcMar>
          </w:tcPr>
          <w:p>
            <w:r>
              <w:rPr>
                <w:sz w:val="16"/>
              </w:rPr>
              <w:t>History of generated audit reports and metadata</w:t>
            </w:r>
          </w:p>
        </w:tc>
        <w:tc>
          <w:tcPr>
            <w:tcW w:type="dxa" w:w="1560"/>
            <w:shd w:fill="F8FAFC"/>
            <w:tcMar>
              <w:top w:w="70" w:type="dxa"/>
              <w:bottom w:w="70" w:type="dxa"/>
              <w:left w:w="70" w:type="dxa"/>
              <w:right w:w="70" w:type="dxa"/>
            </w:tcMar>
          </w:tcPr>
          <w:p>
            <w:r>
              <w:rPr>
                <w:sz w:val="16"/>
              </w:rPr>
              <w:t>200 OK</w:t>
            </w:r>
          </w:p>
        </w:tc>
      </w:tr>
    </w:tbl>
    <w:p>
      <w:r>
        <w:br w:type="page"/>
      </w:r>
    </w:p>
    <w:p>
      <w:pPr>
        <w:keepNext/>
        <w:spacing w:before="360" w:after="160"/>
      </w:pPr>
      <w:r>
        <w:rPr>
          <w:rFonts w:ascii="Calibri" w:hAnsi="Calibri"/>
          <w:b/>
          <w:color w:val="064E3B"/>
          <w:sz w:val="34"/>
        </w:rPr>
        <w:t>CHAPTER 6: USER INTERFACE &amp; DEMONSTRATION</w:t>
      </w:r>
    </w:p>
    <w:p>
      <w:pPr>
        <w:keepNext/>
        <w:spacing w:before="280" w:after="120"/>
      </w:pPr>
      <w:r>
        <w:rPr>
          <w:rFonts w:ascii="Calibri" w:hAnsi="Calibri"/>
          <w:b/>
          <w:color w:val="0D9488"/>
          <w:sz w:val="27"/>
        </w:rPr>
        <w:t>6.1 Design Philosophy &amp; Component System</w:t>
      </w:r>
    </w:p>
    <w:p>
      <w:r>
        <w:t>GreenGrid's user interface is engineered according to the approved Stitch design specifications, emphasizing data clarity, visual hierarchy, and instant cognitive comprehension for facility operators. The interface employs a modern dark-tinted emerald palette (#064E3B, #0D9488) paired with high-contrast slate typography (#1E293B, #64748B) and subtle border cards (#CBD5E1) on crisp white and light-mint backgrounds.</w:t>
      </w:r>
    </w:p>
    <w:p>
      <w:r>
        <w:t>The following sections present the complete visual walkthrough of the platform, featuring actual screenshots captured from the live production build.</w:t>
      </w:r>
    </w:p>
    <w:p>
      <w:pPr>
        <w:keepNext/>
        <w:spacing w:before="280" w:after="120"/>
      </w:pPr>
      <w:r>
        <w:rPr>
          <w:rFonts w:ascii="Calibri" w:hAnsi="Calibri"/>
          <w:b/>
          <w:color w:val="0D9488"/>
          <w:sz w:val="27"/>
        </w:rPr>
        <w:t>6.2 Public Enterprise Landing Page &amp; Solar Showcase</w:t>
      </w:r>
    </w:p>
    <w:p>
      <w:r>
        <w:t>The public landing page acts as the welcoming gateway for university leadership and stakeholders. It showcases the institution's clean energy commitment with high-definition campus solar imagery, active telemetry KPIs, and architectural highlights.</w:t>
      </w:r>
    </w:p>
    <w:p>
      <w:pPr>
        <w:keepNext/>
        <w:spacing w:before="200" w:after="80"/>
        <w:jc w:val="center"/>
      </w:pPr>
      <w:r>
        <w:drawing>
          <wp:inline xmlns:a="http://schemas.openxmlformats.org/drawingml/2006/main" xmlns:pic="http://schemas.openxmlformats.org/drawingml/2006/picture">
            <wp:extent cx="5120640" cy="341242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20640" cy="3412426"/>
                    </a:xfrm>
                    <a:prstGeom prst="rect"/>
                  </pic:spPr>
                </pic:pic>
              </a:graphicData>
            </a:graphic>
          </wp:inline>
        </w:drawing>
      </w:r>
    </w:p>
    <w:p>
      <w:pPr>
        <w:spacing w:before="0" w:after="240"/>
        <w:jc w:val="center"/>
      </w:pPr>
      <w:r>
        <w:rPr>
          <w:rFonts w:ascii="Calibri" w:hAnsi="Calibri"/>
          <w:i/>
          <w:color w:val="64748B"/>
          <w:sz w:val="19"/>
        </w:rPr>
        <w:t>Figure: Figure 6.1: Public Enterprise Landing Page Hero &amp; Real-Time Telemetry Teaser</w:t>
      </w:r>
    </w:p>
    <w:p>
      <w:pPr>
        <w:keepNext/>
        <w:spacing w:before="200" w:after="80"/>
        <w:jc w:val="center"/>
      </w:pPr>
      <w:r>
        <w:drawing>
          <wp:inline xmlns:a="http://schemas.openxmlformats.org/drawingml/2006/main" xmlns:pic="http://schemas.openxmlformats.org/drawingml/2006/picture">
            <wp:extent cx="5120640" cy="300410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3004109"/>
                    </a:xfrm>
                    <a:prstGeom prst="rect"/>
                  </pic:spPr>
                </pic:pic>
              </a:graphicData>
            </a:graphic>
          </wp:inline>
        </w:drawing>
      </w:r>
    </w:p>
    <w:p>
      <w:pPr>
        <w:spacing w:before="0" w:after="240"/>
        <w:jc w:val="center"/>
      </w:pPr>
      <w:r>
        <w:rPr>
          <w:rFonts w:ascii="Calibri" w:hAnsi="Calibri"/>
          <w:i/>
          <w:color w:val="64748B"/>
          <w:sz w:val="19"/>
        </w:rPr>
        <w:t>Figure: Figure 6.2: Rooftop Photovoltaic Array Infrastructure Showcase</w:t>
      </w:r>
    </w:p>
    <w:p>
      <w:pPr>
        <w:keepNext/>
        <w:spacing w:before="280" w:after="120"/>
      </w:pPr>
      <w:r>
        <w:rPr>
          <w:rFonts w:ascii="Calibri" w:hAnsi="Calibri"/>
          <w:b/>
          <w:color w:val="0D9488"/>
          <w:sz w:val="27"/>
        </w:rPr>
        <w:t>6.3 Authentication Portal &amp; Security Controls</w:t>
      </w:r>
    </w:p>
    <w:p>
      <w:r>
        <w:t>The authentication interface ensures that only authorized engineers access sensitive grid control mechanisms. It features seamless JWT validation, password reveal toggles, and clear error handling.</w:t>
      </w:r>
    </w:p>
    <w:p>
      <w:pPr>
        <w:keepNext/>
        <w:spacing w:before="200" w:after="80"/>
        <w:jc w:val="center"/>
      </w:pPr>
      <w:r>
        <w:drawing>
          <wp:inline xmlns:a="http://schemas.openxmlformats.org/drawingml/2006/main" xmlns:pic="http://schemas.openxmlformats.org/drawingml/2006/picture">
            <wp:extent cx="3840480" cy="350161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40480" cy="3501614"/>
                    </a:xfrm>
                    <a:prstGeom prst="rect"/>
                  </pic:spPr>
                </pic:pic>
              </a:graphicData>
            </a:graphic>
          </wp:inline>
        </w:drawing>
      </w:r>
    </w:p>
    <w:p>
      <w:pPr>
        <w:spacing w:before="0" w:after="240"/>
        <w:jc w:val="center"/>
      </w:pPr>
      <w:r>
        <w:rPr>
          <w:rFonts w:ascii="Calibri" w:hAnsi="Calibri"/>
          <w:i/>
          <w:color w:val="64748B"/>
          <w:sz w:val="19"/>
        </w:rPr>
        <w:t>Figure: Figure 6.3: JWT-Secured User Authentication Portal (Login Screen)</w:t>
      </w:r>
    </w:p>
    <w:p>
      <w:pPr>
        <w:keepNext/>
        <w:spacing w:before="280" w:after="120"/>
      </w:pPr>
      <w:r>
        <w:rPr>
          <w:rFonts w:ascii="Calibri" w:hAnsi="Calibri"/>
          <w:b/>
          <w:color w:val="0D9488"/>
          <w:sz w:val="27"/>
        </w:rPr>
        <w:t>6.4 Executive Energy Operations Dashboard</w:t>
      </w:r>
    </w:p>
    <w:p>
      <w:r>
        <w:t>The executive dashboard delivers high-level operational intelligence: Total Campus Consumption (kWh), Peak Active Demand (kW), Solar Generation Fraction (%), and Power Factor health status. Interactive Recharts render diurnal load curves comparing current telemetry against historical baselines.</w:t>
      </w:r>
    </w:p>
    <w:p>
      <w:pPr>
        <w:keepNext/>
        <w:spacing w:before="200" w:after="80"/>
        <w:jc w:val="center"/>
      </w:pPr>
      <w:r>
        <w:drawing>
          <wp:inline xmlns:a="http://schemas.openxmlformats.org/drawingml/2006/main" xmlns:pic="http://schemas.openxmlformats.org/drawingml/2006/picture">
            <wp:extent cx="4114800" cy="6254496"/>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6254496"/>
                    </a:xfrm>
                    <a:prstGeom prst="rect"/>
                  </pic:spPr>
                </pic:pic>
              </a:graphicData>
            </a:graphic>
          </wp:inline>
        </w:drawing>
      </w:r>
    </w:p>
    <w:p>
      <w:pPr>
        <w:spacing w:before="0" w:after="240"/>
        <w:jc w:val="center"/>
      </w:pPr>
      <w:r>
        <w:rPr>
          <w:rFonts w:ascii="Calibri" w:hAnsi="Calibri"/>
          <w:i/>
          <w:color w:val="64748B"/>
          <w:sz w:val="19"/>
        </w:rPr>
        <w:t>Figure: Figure 6.4: Executive Energy Operations Dashboard with Live KPI Cards &amp; Demand Curves</w:t>
      </w:r>
    </w:p>
    <w:p>
      <w:pPr>
        <w:keepNext/>
        <w:spacing w:before="280" w:after="120"/>
      </w:pPr>
      <w:r>
        <w:rPr>
          <w:rFonts w:ascii="Calibri" w:hAnsi="Calibri"/>
          <w:b/>
          <w:color w:val="0D9488"/>
          <w:sz w:val="27"/>
        </w:rPr>
        <w:t>6.5 Campus Facilities Infrastructure Management</w:t>
      </w:r>
    </w:p>
    <w:p>
      <w:r>
        <w:t>The facilities view allows managers to browse the 12 campus buildings, inspect floor plans, square footage, and installed metering hardware. It provides instant filtering of facility-specific electrical metrics.</w:t>
      </w:r>
    </w:p>
    <w:p>
      <w:pPr>
        <w:keepNext/>
        <w:spacing w:before="200" w:after="80"/>
        <w:jc w:val="center"/>
      </w:pPr>
      <w:r>
        <w:drawing>
          <wp:inline xmlns:a="http://schemas.openxmlformats.org/drawingml/2006/main" xmlns:pic="http://schemas.openxmlformats.org/drawingml/2006/picture">
            <wp:extent cx="4114800" cy="5321808"/>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5321808"/>
                    </a:xfrm>
                    <a:prstGeom prst="rect"/>
                  </pic:spPr>
                </pic:pic>
              </a:graphicData>
            </a:graphic>
          </wp:inline>
        </w:drawing>
      </w:r>
    </w:p>
    <w:p>
      <w:pPr>
        <w:spacing w:before="0" w:after="240"/>
        <w:jc w:val="center"/>
      </w:pPr>
      <w:r>
        <w:rPr>
          <w:rFonts w:ascii="Calibri" w:hAnsi="Calibri"/>
          <w:i/>
          <w:color w:val="64748B"/>
          <w:sz w:val="19"/>
        </w:rPr>
        <w:t>Figure: Figure 6.5: Multi-Facility Campus Infrastructure Management &amp; Meter Registry</w:t>
      </w:r>
    </w:p>
    <w:p>
      <w:pPr>
        <w:keepNext/>
        <w:spacing w:before="280" w:after="120"/>
      </w:pPr>
      <w:r>
        <w:rPr>
          <w:rFonts w:ascii="Calibri" w:hAnsi="Calibri"/>
          <w:b/>
          <w:color w:val="0D9488"/>
          <w:sz w:val="27"/>
        </w:rPr>
        <w:t>6.6 Real-Time Energy Telemetry &amp; Load Monitoring</w:t>
      </w:r>
    </w:p>
    <w:p>
      <w:r>
        <w:t>The energy monitoring module displays high-frequency sub-meter readings: instantaneous kW load, voltage per phase, reactive kVAR, and frequency stability, enabling engineers to pinpoint specific transformer branch overloads.</w:t>
      </w:r>
    </w:p>
    <w:p>
      <w:pPr>
        <w:keepNext/>
        <w:spacing w:before="200" w:after="80"/>
        <w:jc w:val="center"/>
      </w:pPr>
      <w:r>
        <w:drawing>
          <wp:inline xmlns:a="http://schemas.openxmlformats.org/drawingml/2006/main" xmlns:pic="http://schemas.openxmlformats.org/drawingml/2006/picture">
            <wp:extent cx="4114800" cy="8679656"/>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8679656"/>
                    </a:xfrm>
                    <a:prstGeom prst="rect"/>
                  </pic:spPr>
                </pic:pic>
              </a:graphicData>
            </a:graphic>
          </wp:inline>
        </w:drawing>
      </w:r>
    </w:p>
    <w:p>
      <w:pPr>
        <w:spacing w:before="0" w:after="240"/>
        <w:jc w:val="center"/>
      </w:pPr>
      <w:r>
        <w:rPr>
          <w:rFonts w:ascii="Calibri" w:hAnsi="Calibri"/>
          <w:i/>
          <w:color w:val="64748B"/>
          <w:sz w:val="19"/>
        </w:rPr>
        <w:t>Figure: Figure 6.6: Real-Time Sub-Meter Telemetry &amp; Electrical Demand Metrology View</w:t>
      </w:r>
    </w:p>
    <w:p>
      <w:pPr>
        <w:keepNext/>
        <w:spacing w:before="280" w:after="120"/>
      </w:pPr>
      <w:r>
        <w:rPr>
          <w:rFonts w:ascii="Calibri" w:hAnsi="Calibri"/>
          <w:b/>
          <w:color w:val="0D9488"/>
          <w:sz w:val="27"/>
        </w:rPr>
        <w:t>6.7 Renewable Solar PV &amp; BESS Dispatch Dashboard</w:t>
      </w:r>
    </w:p>
    <w:p>
      <w:r>
        <w:t>This view visualizes distributed solar array output alongside battery storage state-of-charge (SoC). Operators can monitor battery health, inverter conversion efficiencies, and net renewable self-consumption.</w:t>
      </w:r>
    </w:p>
    <w:p>
      <w:pPr>
        <w:keepNext/>
        <w:spacing w:before="200" w:after="80"/>
        <w:jc w:val="center"/>
      </w:pPr>
      <w:r>
        <w:drawing>
          <wp:inline xmlns:a="http://schemas.openxmlformats.org/drawingml/2006/main" xmlns:pic="http://schemas.openxmlformats.org/drawingml/2006/picture">
            <wp:extent cx="3657600" cy="880809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57600" cy="8808098"/>
                    </a:xfrm>
                    <a:prstGeom prst="rect"/>
                  </pic:spPr>
                </pic:pic>
              </a:graphicData>
            </a:graphic>
          </wp:inline>
        </w:drawing>
      </w:r>
    </w:p>
    <w:p>
      <w:pPr>
        <w:spacing w:before="0" w:after="240"/>
        <w:jc w:val="center"/>
      </w:pPr>
      <w:r>
        <w:rPr>
          <w:rFonts w:ascii="Calibri" w:hAnsi="Calibri"/>
          <w:i/>
          <w:color w:val="64748B"/>
          <w:sz w:val="19"/>
        </w:rPr>
        <w:t>Figure: Figure 6.7: Renewable Solar PV Generation &amp; BESS Battery Storage Operations</w:t>
      </w:r>
    </w:p>
    <w:p>
      <w:pPr>
        <w:keepNext/>
        <w:spacing w:before="280" w:after="120"/>
      </w:pPr>
      <w:r>
        <w:rPr>
          <w:rFonts w:ascii="Calibri" w:hAnsi="Calibri"/>
          <w:b/>
          <w:color w:val="0D9488"/>
          <w:sz w:val="27"/>
        </w:rPr>
        <w:t>6.8 HT Commercial Billing &amp; Tariff Invoicing</w:t>
      </w:r>
    </w:p>
    <w:p>
      <w:r>
        <w:t>The billing module translates technical kilowatt-hours into financial ledgers. It applies multi-tier consumption rates, calculates peak demand surcharges, applies solar net-metering credits, and provides direct CSV invoice export.</w:t>
      </w:r>
    </w:p>
    <w:p>
      <w:pPr>
        <w:keepNext/>
        <w:spacing w:before="200" w:after="80"/>
        <w:jc w:val="center"/>
      </w:pPr>
      <w:r>
        <w:drawing>
          <wp:inline xmlns:a="http://schemas.openxmlformats.org/drawingml/2006/main" xmlns:pic="http://schemas.openxmlformats.org/drawingml/2006/picture">
            <wp:extent cx="4114800" cy="8679656"/>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8679656"/>
                    </a:xfrm>
                    <a:prstGeom prst="rect"/>
                  </pic:spPr>
                </pic:pic>
              </a:graphicData>
            </a:graphic>
          </wp:inline>
        </w:drawing>
      </w:r>
    </w:p>
    <w:p>
      <w:pPr>
        <w:spacing w:before="0" w:after="240"/>
        <w:jc w:val="center"/>
      </w:pPr>
      <w:r>
        <w:rPr>
          <w:rFonts w:ascii="Calibri" w:hAnsi="Calibri"/>
          <w:i/>
          <w:color w:val="64748B"/>
          <w:sz w:val="19"/>
        </w:rPr>
        <w:t>Figure: Figure 6.8: HT Commercial Multi-Tier Billing &amp; Invoicing Ledger View</w:t>
      </w:r>
    </w:p>
    <w:p>
      <w:pPr>
        <w:keepNext/>
        <w:spacing w:before="280" w:after="120"/>
      </w:pPr>
      <w:r>
        <w:rPr>
          <w:rFonts w:ascii="Calibri" w:hAnsi="Calibri"/>
          <w:b/>
          <w:color w:val="0D9488"/>
          <w:sz w:val="27"/>
        </w:rPr>
        <w:t>6.9 Metrology Analytics &amp; Power Factor Assessment</w:t>
      </w:r>
    </w:p>
    <w:p>
      <w:r>
        <w:t>The analytics module provides deep electrical engineering insights: tracking Power Factor distribution to prevent utility penalties, analyzing Total Harmonic Distortion (THD_V), and assessing reactive power compensation.</w:t>
      </w:r>
    </w:p>
    <w:p>
      <w:pPr>
        <w:keepNext/>
        <w:spacing w:before="200" w:after="80"/>
        <w:jc w:val="center"/>
      </w:pPr>
      <w:r>
        <w:drawing>
          <wp:inline xmlns:a="http://schemas.openxmlformats.org/drawingml/2006/main" xmlns:pic="http://schemas.openxmlformats.org/drawingml/2006/picture">
            <wp:extent cx="4754880" cy="547259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54880" cy="5472598"/>
                    </a:xfrm>
                    <a:prstGeom prst="rect"/>
                  </pic:spPr>
                </pic:pic>
              </a:graphicData>
            </a:graphic>
          </wp:inline>
        </w:drawing>
      </w:r>
    </w:p>
    <w:p>
      <w:pPr>
        <w:spacing w:before="0" w:after="240"/>
        <w:jc w:val="center"/>
      </w:pPr>
      <w:r>
        <w:rPr>
          <w:rFonts w:ascii="Calibri" w:hAnsi="Calibri"/>
          <w:i/>
          <w:color w:val="64748B"/>
          <w:sz w:val="19"/>
        </w:rPr>
        <w:t>Figure: Figure 6.9: Advanced Metrology &amp; Power Quality Analytics (PF, THD, kVAR)</w:t>
      </w:r>
    </w:p>
    <w:p>
      <w:pPr>
        <w:keepNext/>
        <w:spacing w:before="280" w:after="120"/>
      </w:pPr>
      <w:r>
        <w:rPr>
          <w:rFonts w:ascii="Calibri" w:hAnsi="Calibri"/>
          <w:b/>
          <w:color w:val="0D9488"/>
          <w:sz w:val="27"/>
        </w:rPr>
        <w:t>6.10 Predictive Demand Forecasting Visualizer</w:t>
      </w:r>
    </w:p>
    <w:p>
      <w:r>
        <w:t>The forecast page presents Scikit-learn machine learning projections across 1, 3, 7, and 14-day horizons. Predicted peak loads are plotted with upper and lower confidence bands, guiding campus energy conservation schedules.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0D9488"/>
              <w:bottom w:val="none"/>
              <w:right w:val="none"/>
            </w:tcBorders>
          </w:tcPr>
          <w:p>
            <w:pPr>
              <w:spacing w:before="40" w:after="40" w:line="276" w:lineRule="auto"/>
            </w:pPr>
            <w:r>
              <w:rPr>
                <w:rFonts w:ascii="Calibri" w:hAnsi="Calibri"/>
                <w:b/>
                <w:color w:val="064E3B"/>
                <w:sz w:val="21"/>
              </w:rPr>
              <w:t>MACHINE LEARNING FORECASTING PERFORMANCE</w:t>
              <w:br/>
            </w:r>
            <w:r>
              <w:rPr>
                <w:rFonts w:ascii="Calibri" w:hAnsi="Calibri"/>
                <w:color w:val="1E293B"/>
                <w:sz w:val="20"/>
              </w:rPr>
              <w:t>The predictive forecast utilizes historical DailyEnergyAggregate time-series features (day of week, trailing 7-day moving average, baseline peak load) to compute projected demand kW with a Mean Absolute Percentage Error (MAPE) under 6.8% under typical campus operating conditions.</w:t>
            </w:r>
          </w:p>
        </w:tc>
      </w:tr>
    </w:tbl>
    <w:p>
      <w:pPr>
        <w:spacing w:before="0" w:after="80"/>
      </w:pPr>
    </w:p>
    <w:p>
      <w:pPr>
        <w:keepNext/>
        <w:spacing w:before="280" w:after="120"/>
      </w:pPr>
      <w:r>
        <w:rPr>
          <w:rFonts w:ascii="Calibri" w:hAnsi="Calibri"/>
          <w:b/>
          <w:color w:val="0D9488"/>
          <w:sz w:val="27"/>
        </w:rPr>
        <w:t>6.11 Anomaly Alerts &amp; Alarm Resolution Workflow</w:t>
      </w:r>
    </w:p>
    <w:p>
      <w:r>
        <w:t>The alerts view aggregates active threshold violations (e.g., Demand Overload &gt; 95%, Low Power Factor &lt; 0.85). Operators can acknowledge incidents, view observed versus limit values, and record resolution timestamps.</w:t>
      </w:r>
    </w:p>
    <w:p>
      <w:pPr>
        <w:keepNext/>
        <w:spacing w:before="200" w:after="80"/>
        <w:jc w:val="center"/>
      </w:pPr>
      <w:r>
        <w:drawing>
          <wp:inline xmlns:a="http://schemas.openxmlformats.org/drawingml/2006/main" xmlns:pic="http://schemas.openxmlformats.org/drawingml/2006/picture">
            <wp:extent cx="4114800" cy="7471611"/>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7471611"/>
                    </a:xfrm>
                    <a:prstGeom prst="rect"/>
                  </pic:spPr>
                </pic:pic>
              </a:graphicData>
            </a:graphic>
          </wp:inline>
        </w:drawing>
      </w:r>
    </w:p>
    <w:p>
      <w:pPr>
        <w:spacing w:before="0" w:after="240"/>
        <w:jc w:val="center"/>
      </w:pPr>
      <w:r>
        <w:rPr>
          <w:rFonts w:ascii="Calibri" w:hAnsi="Calibri"/>
          <w:i/>
          <w:color w:val="64748B"/>
          <w:sz w:val="19"/>
        </w:rPr>
        <w:t>Figure: Figure 6.11: Anomaly Alerts &amp; Incident Resolution Operational Workflow</w:t>
      </w:r>
    </w:p>
    <w:p>
      <w:pPr>
        <w:keepNext/>
        <w:spacing w:before="280" w:after="120"/>
      </w:pPr>
      <w:r>
        <w:rPr>
          <w:rFonts w:ascii="Calibri" w:hAnsi="Calibri"/>
          <w:b/>
          <w:color w:val="0D9488"/>
          <w:sz w:val="27"/>
        </w:rPr>
        <w:t>6.12 Regulatory Compliance Reporting &amp; CSV Hub</w:t>
      </w:r>
    </w:p>
    <w:p>
      <w:r>
        <w:t>The reports interface empowers auditors to trigger on-demand data exports for facility energy audits, monthly financial ledgers, and raw telemetry history, downloading RFC 4180-compliant CSV documents.</w:t>
      </w:r>
    </w:p>
    <w:p>
      <w:pPr>
        <w:keepNext/>
        <w:spacing w:before="200" w:after="80"/>
        <w:jc w:val="center"/>
      </w:pPr>
      <w:r>
        <w:drawing>
          <wp:inline xmlns:a="http://schemas.openxmlformats.org/drawingml/2006/main" xmlns:pic="http://schemas.openxmlformats.org/drawingml/2006/picture">
            <wp:extent cx="4389120" cy="6822219"/>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6822219"/>
                    </a:xfrm>
                    <a:prstGeom prst="rect"/>
                  </pic:spPr>
                </pic:pic>
              </a:graphicData>
            </a:graphic>
          </wp:inline>
        </w:drawing>
      </w:r>
    </w:p>
    <w:p>
      <w:pPr>
        <w:spacing w:before="0" w:after="240"/>
        <w:jc w:val="center"/>
      </w:pPr>
      <w:r>
        <w:rPr>
          <w:rFonts w:ascii="Calibri" w:hAnsi="Calibri"/>
          <w:i/>
          <w:color w:val="64748B"/>
          <w:sz w:val="19"/>
        </w:rPr>
        <w:t>Figure: Figure 6.12: Regulatory Compliance Reporting &amp; Dynamic CSV Export Hub</w:t>
      </w:r>
    </w:p>
    <w:p>
      <w:pPr>
        <w:keepNext/>
        <w:spacing w:before="280" w:after="120"/>
      </w:pPr>
      <w:r>
        <w:rPr>
          <w:rFonts w:ascii="Calibri" w:hAnsi="Calibri"/>
          <w:b/>
          <w:color w:val="0D9488"/>
          <w:sz w:val="27"/>
        </w:rPr>
        <w:t>6.13 Global System Preferences &amp; Tariff Administration</w:t>
      </w:r>
    </w:p>
    <w:p>
      <w:r>
        <w:t>The settings view allows authorized administrators to configure utility tariff tiers, solar credit rates, peak surcharge multipliers, user notification preferences, and global facility filtering options.</w:t>
      </w:r>
    </w:p>
    <w:p>
      <w:pPr>
        <w:keepNext/>
        <w:spacing w:before="200" w:after="80"/>
        <w:jc w:val="center"/>
      </w:pPr>
      <w:r>
        <w:drawing>
          <wp:inline xmlns:a="http://schemas.openxmlformats.org/drawingml/2006/main" xmlns:pic="http://schemas.openxmlformats.org/drawingml/2006/picture">
            <wp:extent cx="4937760" cy="323088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937760" cy="3230880"/>
                    </a:xfrm>
                    <a:prstGeom prst="rect"/>
                  </pic:spPr>
                </pic:pic>
              </a:graphicData>
            </a:graphic>
          </wp:inline>
        </w:drawing>
      </w:r>
    </w:p>
    <w:p>
      <w:pPr>
        <w:spacing w:before="0" w:after="240"/>
        <w:jc w:val="center"/>
      </w:pPr>
      <w:r>
        <w:rPr>
          <w:rFonts w:ascii="Calibri" w:hAnsi="Calibri"/>
          <w:i/>
          <w:color w:val="64748B"/>
          <w:sz w:val="19"/>
        </w:rPr>
        <w:t>Figure: Figure 6.13: Global System Configuration &amp; Tariff Administration Panel</w:t>
      </w:r>
    </w:p>
    <w:p>
      <w:r>
        <w:br w:type="page"/>
      </w:r>
    </w:p>
    <w:p>
      <w:pPr>
        <w:keepNext/>
        <w:spacing w:before="360" w:after="160"/>
      </w:pPr>
      <w:r>
        <w:rPr>
          <w:rFonts w:ascii="Calibri" w:hAnsi="Calibri"/>
          <w:b/>
          <w:color w:val="064E3B"/>
          <w:sz w:val="34"/>
        </w:rPr>
        <w:t>CHAPTER 7: VERIFICATION, TESTING &amp; PERFORMANCE EVALUATION</w:t>
      </w:r>
    </w:p>
    <w:p>
      <w:pPr>
        <w:keepNext/>
        <w:spacing w:before="280" w:after="120"/>
      </w:pPr>
      <w:r>
        <w:rPr>
          <w:rFonts w:ascii="Calibri" w:hAnsi="Calibri"/>
          <w:b/>
          <w:color w:val="0D9488"/>
          <w:sz w:val="27"/>
        </w:rPr>
        <w:t>7.1 Quality Assurance Strategy</w:t>
      </w:r>
    </w:p>
    <w:p>
      <w:r>
        <w:t>The verification strategy for GreenGrid followed a multi-tiered engineering approach encompassing backend unit testing, DRF API integration testing, frontend component verification, and end-to-end performance benchmarking. Automated tests verified database schema constraints, tariff calculation formulas, and JWT authorization rules.</w:t>
      </w:r>
    </w:p>
    <w:p>
      <w:pPr>
        <w:keepNext/>
        <w:spacing w:before="280" w:after="120"/>
      </w:pPr>
      <w:r>
        <w:rPr>
          <w:rFonts w:ascii="Calibri" w:hAnsi="Calibri"/>
          <w:b/>
          <w:color w:val="0D9488"/>
          <w:sz w:val="27"/>
        </w:rPr>
        <w:t>7.2 Backend Unit &amp; API Integration Testing</w:t>
      </w:r>
    </w:p>
    <w:p>
      <w:r>
        <w:t>Django's APITestCase framework was employed to validate endpoint responses against various authentication states and payload parameters. Key test suites confirmed that:</w:t>
      </w:r>
    </w:p>
    <w:p>
      <w:r>
        <w:t>• Unauthenticated requests to protected endpoints (/api/v1/energy/, /api/v1/billing/) strictly return HTTP 401 Unauthorized.</w:t>
      </w:r>
    </w:p>
    <w:p>
      <w:r>
        <w:t>• Tariff calculation models accurately sum multi-tier consumption slabs, calculate 18% GST tax, and deduct solar credits.</w:t>
      </w:r>
    </w:p>
    <w:p>
      <w:r>
        <w:t>• Database cascading rules safely preserve historical aggregates even if temporary sensor metadata is reconfigured.</w:t>
      </w:r>
    </w:p>
    <w:p>
      <w:pPr>
        <w:keepNext/>
        <w:spacing w:before="280" w:after="120"/>
      </w:pPr>
      <w:r>
        <w:rPr>
          <w:rFonts w:ascii="Calibri" w:hAnsi="Calibri"/>
          <w:b/>
          <w:color w:val="0D9488"/>
          <w:sz w:val="27"/>
        </w:rPr>
        <w:t>7.3 Frontend Asynchronous Non-Blocking Verification</w:t>
      </w:r>
    </w:p>
    <w:p>
      <w:r>
        <w:t>A critical performance requirement was the elimination of blocking loading screens during sidebar navigation. The React frontend was optimized using a Fast Page Shell design pattern. Page containers, headers, and navigation controls mount immediately (&lt;15ms), while child telemetry components trigger parallel non-blocking Axios queries. Graceful skeleton placeholders preserve layout stability, preventing Cumulative Layout Shift (CLS).</w:t>
      </w:r>
    </w:p>
    <w:p>
      <w:pPr>
        <w:keepNext/>
        <w:spacing w:before="280" w:after="120"/>
      </w:pPr>
      <w:r>
        <w:rPr>
          <w:rFonts w:ascii="Calibri" w:hAnsi="Calibri"/>
          <w:b/>
          <w:color w:val="0D9488"/>
          <w:sz w:val="27"/>
        </w:rPr>
        <w:t>7.4 Comprehensive Test Case Execution Matrix</w:t>
      </w:r>
    </w:p>
    <w:p>
      <w:r>
        <w:t>Table 7.1 details the execution results of 15 comprehensive test cases covering all 12 modules.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864"/>
        <w:gridCol w:w="1872"/>
        <w:gridCol w:w="2160"/>
        <w:gridCol w:w="1728"/>
        <w:gridCol w:w="1872"/>
        <w:gridCol w:w="864"/>
      </w:tblGrid>
      <w:tr>
        <w:tc>
          <w:tcPr>
            <w:tcW w:type="dxa" w:w="1560"/>
            <w:shd w:fill="064E3B"/>
            <w:tcMar>
              <w:top w:w="90" w:type="dxa"/>
              <w:bottom w:w="90" w:type="dxa"/>
              <w:left w:w="70" w:type="dxa"/>
              <w:right w:w="70" w:type="dxa"/>
            </w:tcMar>
          </w:tcPr>
          <w:p>
            <w:r>
              <w:rPr>
                <w:b/>
                <w:color w:val="FFFFFF"/>
                <w:sz w:val="17"/>
              </w:rPr>
              <w:t>Test ID</w:t>
            </w:r>
          </w:p>
        </w:tc>
        <w:tc>
          <w:tcPr>
            <w:tcW w:type="dxa" w:w="1560"/>
            <w:shd w:fill="064E3B"/>
            <w:tcMar>
              <w:top w:w="90" w:type="dxa"/>
              <w:bottom w:w="90" w:type="dxa"/>
              <w:left w:w="70" w:type="dxa"/>
              <w:right w:w="70" w:type="dxa"/>
            </w:tcMar>
          </w:tcPr>
          <w:p>
            <w:r>
              <w:rPr>
                <w:b/>
                <w:color w:val="FFFFFF"/>
                <w:sz w:val="17"/>
              </w:rPr>
              <w:t>Test Scenario</w:t>
            </w:r>
          </w:p>
        </w:tc>
        <w:tc>
          <w:tcPr>
            <w:tcW w:type="dxa" w:w="1560"/>
            <w:shd w:fill="064E3B"/>
            <w:tcMar>
              <w:top w:w="90" w:type="dxa"/>
              <w:bottom w:w="90" w:type="dxa"/>
              <w:left w:w="70" w:type="dxa"/>
              <w:right w:w="70" w:type="dxa"/>
            </w:tcMar>
          </w:tcPr>
          <w:p>
            <w:r>
              <w:rPr>
                <w:b/>
                <w:color w:val="FFFFFF"/>
                <w:sz w:val="17"/>
              </w:rPr>
              <w:t>Input Stimulus / Action</w:t>
            </w:r>
          </w:p>
        </w:tc>
        <w:tc>
          <w:tcPr>
            <w:tcW w:type="dxa" w:w="1560"/>
            <w:shd w:fill="064E3B"/>
            <w:tcMar>
              <w:top w:w="90" w:type="dxa"/>
              <w:bottom w:w="90" w:type="dxa"/>
              <w:left w:w="70" w:type="dxa"/>
              <w:right w:w="70" w:type="dxa"/>
            </w:tcMar>
          </w:tcPr>
          <w:p>
            <w:r>
              <w:rPr>
                <w:b/>
                <w:color w:val="FFFFFF"/>
                <w:sz w:val="17"/>
              </w:rPr>
              <w:t>Expected Result</w:t>
            </w:r>
          </w:p>
        </w:tc>
        <w:tc>
          <w:tcPr>
            <w:tcW w:type="dxa" w:w="1560"/>
            <w:shd w:fill="064E3B"/>
            <w:tcMar>
              <w:top w:w="90" w:type="dxa"/>
              <w:bottom w:w="90" w:type="dxa"/>
              <w:left w:w="70" w:type="dxa"/>
              <w:right w:w="70" w:type="dxa"/>
            </w:tcMar>
          </w:tcPr>
          <w:p>
            <w:r>
              <w:rPr>
                <w:b/>
                <w:color w:val="FFFFFF"/>
                <w:sz w:val="17"/>
              </w:rPr>
              <w:t>Actual Result</w:t>
            </w:r>
          </w:p>
        </w:tc>
        <w:tc>
          <w:tcPr>
            <w:tcW w:type="dxa" w:w="1560"/>
            <w:shd w:fill="064E3B"/>
            <w:tcMar>
              <w:top w:w="90" w:type="dxa"/>
              <w:bottom w:w="90" w:type="dxa"/>
              <w:left w:w="70" w:type="dxa"/>
              <w:right w:w="70" w:type="dxa"/>
            </w:tcMar>
          </w:tcPr>
          <w:p>
            <w:r>
              <w:rPr>
                <w:b/>
                <w:color w:val="FFFFFF"/>
                <w:sz w:val="17"/>
              </w:rPr>
              <w:t>Status</w:t>
            </w:r>
          </w:p>
        </w:tc>
      </w:tr>
      <w:tr>
        <w:tc>
          <w:tcPr>
            <w:tcW w:type="dxa" w:w="1560"/>
            <w:shd w:fill="FFFFFF"/>
            <w:tcMar>
              <w:top w:w="65" w:type="dxa"/>
              <w:bottom w:w="65" w:type="dxa"/>
              <w:left w:w="65" w:type="dxa"/>
              <w:right w:w="65" w:type="dxa"/>
            </w:tcMar>
          </w:tcPr>
          <w:p>
            <w:r>
              <w:rPr>
                <w:b/>
                <w:sz w:val="16"/>
              </w:rPr>
              <w:t>TC-01</w:t>
            </w:r>
          </w:p>
        </w:tc>
        <w:tc>
          <w:tcPr>
            <w:tcW w:type="dxa" w:w="1560"/>
            <w:shd w:fill="FFFFFF"/>
            <w:tcMar>
              <w:top w:w="65" w:type="dxa"/>
              <w:bottom w:w="65" w:type="dxa"/>
              <w:left w:w="65" w:type="dxa"/>
              <w:right w:w="65" w:type="dxa"/>
            </w:tcMar>
          </w:tcPr>
          <w:p>
            <w:r>
              <w:rPr>
                <w:sz w:val="16"/>
              </w:rPr>
              <w:t>User Authentication</w:t>
            </w:r>
          </w:p>
        </w:tc>
        <w:tc>
          <w:tcPr>
            <w:tcW w:type="dxa" w:w="1560"/>
            <w:shd w:fill="FFFFFF"/>
            <w:tcMar>
              <w:top w:w="65" w:type="dxa"/>
              <w:bottom w:w="65" w:type="dxa"/>
              <w:left w:w="65" w:type="dxa"/>
              <w:right w:w="65" w:type="dxa"/>
            </w:tcMar>
          </w:tcPr>
          <w:p>
            <w:r>
              <w:rPr>
                <w:sz w:val="16"/>
              </w:rPr>
              <w:t>POST /api/v1/auth/token/ with valid credentials</w:t>
            </w:r>
          </w:p>
        </w:tc>
        <w:tc>
          <w:tcPr>
            <w:tcW w:type="dxa" w:w="1560"/>
            <w:shd w:fill="FFFFFF"/>
            <w:tcMar>
              <w:top w:w="65" w:type="dxa"/>
              <w:bottom w:w="65" w:type="dxa"/>
              <w:left w:w="65" w:type="dxa"/>
              <w:right w:w="65" w:type="dxa"/>
            </w:tcMar>
          </w:tcPr>
          <w:p>
            <w:r>
              <w:rPr>
                <w:sz w:val="16"/>
              </w:rPr>
              <w:t>HTTP 200 OK + JWT Tokens</w:t>
            </w:r>
          </w:p>
        </w:tc>
        <w:tc>
          <w:tcPr>
            <w:tcW w:type="dxa" w:w="1560"/>
            <w:shd w:fill="FFFFFF"/>
            <w:tcMar>
              <w:top w:w="65" w:type="dxa"/>
              <w:bottom w:w="65" w:type="dxa"/>
              <w:left w:w="65" w:type="dxa"/>
              <w:right w:w="65" w:type="dxa"/>
            </w:tcMar>
          </w:tcPr>
          <w:p>
            <w:r>
              <w:rPr>
                <w:sz w:val="16"/>
              </w:rPr>
              <w:t>HTTP 200 OK + Valid Tokens</w:t>
            </w:r>
          </w:p>
        </w:tc>
        <w:tc>
          <w:tcPr>
            <w:tcW w:type="dxa" w:w="1560"/>
            <w:shd w:fill="FFFFFF"/>
            <w:tcMar>
              <w:top w:w="65" w:type="dxa"/>
              <w:bottom w:w="65" w:type="dxa"/>
              <w:left w:w="65" w:type="dxa"/>
              <w:right w:w="65" w:type="dxa"/>
            </w:tcMar>
          </w:tcPr>
          <w:p>
            <w:r>
              <w:rPr>
                <w:b/>
                <w:color w:val="10B981"/>
                <w:sz w:val="16"/>
              </w:rPr>
              <w:t>PASS</w:t>
            </w:r>
          </w:p>
        </w:tc>
      </w:tr>
      <w:tr>
        <w:tc>
          <w:tcPr>
            <w:tcW w:type="dxa" w:w="1560"/>
            <w:shd w:fill="F8FAFC"/>
            <w:tcMar>
              <w:top w:w="65" w:type="dxa"/>
              <w:bottom w:w="65" w:type="dxa"/>
              <w:left w:w="65" w:type="dxa"/>
              <w:right w:w="65" w:type="dxa"/>
            </w:tcMar>
          </w:tcPr>
          <w:p>
            <w:r>
              <w:rPr>
                <w:b/>
                <w:sz w:val="16"/>
              </w:rPr>
              <w:t>TC-02</w:t>
            </w:r>
          </w:p>
        </w:tc>
        <w:tc>
          <w:tcPr>
            <w:tcW w:type="dxa" w:w="1560"/>
            <w:shd w:fill="F8FAFC"/>
            <w:tcMar>
              <w:top w:w="65" w:type="dxa"/>
              <w:bottom w:w="65" w:type="dxa"/>
              <w:left w:w="65" w:type="dxa"/>
              <w:right w:w="65" w:type="dxa"/>
            </w:tcMar>
          </w:tcPr>
          <w:p>
            <w:r>
              <w:rPr>
                <w:sz w:val="16"/>
              </w:rPr>
              <w:t>Invalid Auth Rejection</w:t>
            </w:r>
          </w:p>
        </w:tc>
        <w:tc>
          <w:tcPr>
            <w:tcW w:type="dxa" w:w="1560"/>
            <w:shd w:fill="F8FAFC"/>
            <w:tcMar>
              <w:top w:w="65" w:type="dxa"/>
              <w:bottom w:w="65" w:type="dxa"/>
              <w:left w:w="65" w:type="dxa"/>
              <w:right w:w="65" w:type="dxa"/>
            </w:tcMar>
          </w:tcPr>
          <w:p>
            <w:r>
              <w:rPr>
                <w:sz w:val="16"/>
              </w:rPr>
              <w:t>POST /api/v1/auth/token/ with wrong password</w:t>
            </w:r>
          </w:p>
        </w:tc>
        <w:tc>
          <w:tcPr>
            <w:tcW w:type="dxa" w:w="1560"/>
            <w:shd w:fill="F8FAFC"/>
            <w:tcMar>
              <w:top w:w="65" w:type="dxa"/>
              <w:bottom w:w="65" w:type="dxa"/>
              <w:left w:w="65" w:type="dxa"/>
              <w:right w:w="65" w:type="dxa"/>
            </w:tcMar>
          </w:tcPr>
          <w:p>
            <w:r>
              <w:rPr>
                <w:sz w:val="16"/>
              </w:rPr>
              <w:t>HTTP 401 Unauthorized</w:t>
            </w:r>
          </w:p>
        </w:tc>
        <w:tc>
          <w:tcPr>
            <w:tcW w:type="dxa" w:w="1560"/>
            <w:shd w:fill="F8FAFC"/>
            <w:tcMar>
              <w:top w:w="65" w:type="dxa"/>
              <w:bottom w:w="65" w:type="dxa"/>
              <w:left w:w="65" w:type="dxa"/>
              <w:right w:w="65" w:type="dxa"/>
            </w:tcMar>
          </w:tcPr>
          <w:p>
            <w:r>
              <w:rPr>
                <w:sz w:val="16"/>
              </w:rPr>
              <w:t>HTTP 401 Unauthorized</w:t>
            </w:r>
          </w:p>
        </w:tc>
        <w:tc>
          <w:tcPr>
            <w:tcW w:type="dxa" w:w="1560"/>
            <w:shd w:fill="F8FAFC"/>
            <w:tcMar>
              <w:top w:w="65" w:type="dxa"/>
              <w:bottom w:w="65" w:type="dxa"/>
              <w:left w:w="65" w:type="dxa"/>
              <w:right w:w="65" w:type="dxa"/>
            </w:tcMar>
          </w:tcPr>
          <w:p>
            <w:r>
              <w:rPr>
                <w:b/>
                <w:color w:val="10B981"/>
                <w:sz w:val="16"/>
              </w:rPr>
              <w:t>PASS</w:t>
            </w:r>
          </w:p>
        </w:tc>
      </w:tr>
      <w:tr>
        <w:tc>
          <w:tcPr>
            <w:tcW w:type="dxa" w:w="1560"/>
            <w:shd w:fill="FFFFFF"/>
            <w:tcMar>
              <w:top w:w="65" w:type="dxa"/>
              <w:bottom w:w="65" w:type="dxa"/>
              <w:left w:w="65" w:type="dxa"/>
              <w:right w:w="65" w:type="dxa"/>
            </w:tcMar>
          </w:tcPr>
          <w:p>
            <w:r>
              <w:rPr>
                <w:b/>
                <w:sz w:val="16"/>
              </w:rPr>
              <w:t>TC-03</w:t>
            </w:r>
          </w:p>
        </w:tc>
        <w:tc>
          <w:tcPr>
            <w:tcW w:type="dxa" w:w="1560"/>
            <w:shd w:fill="FFFFFF"/>
            <w:tcMar>
              <w:top w:w="65" w:type="dxa"/>
              <w:bottom w:w="65" w:type="dxa"/>
              <w:left w:w="65" w:type="dxa"/>
              <w:right w:w="65" w:type="dxa"/>
            </w:tcMar>
          </w:tcPr>
          <w:p>
            <w:r>
              <w:rPr>
                <w:sz w:val="16"/>
              </w:rPr>
              <w:t>Facility Registry Query</w:t>
            </w:r>
          </w:p>
        </w:tc>
        <w:tc>
          <w:tcPr>
            <w:tcW w:type="dxa" w:w="1560"/>
            <w:shd w:fill="FFFFFF"/>
            <w:tcMar>
              <w:top w:w="65" w:type="dxa"/>
              <w:bottom w:w="65" w:type="dxa"/>
              <w:left w:w="65" w:type="dxa"/>
              <w:right w:w="65" w:type="dxa"/>
            </w:tcMar>
          </w:tcPr>
          <w:p>
            <w:r>
              <w:rPr>
                <w:sz w:val="16"/>
              </w:rPr>
              <w:t>GET /api/v1/facilities/ with Bearer Token</w:t>
            </w:r>
          </w:p>
        </w:tc>
        <w:tc>
          <w:tcPr>
            <w:tcW w:type="dxa" w:w="1560"/>
            <w:shd w:fill="FFFFFF"/>
            <w:tcMar>
              <w:top w:w="65" w:type="dxa"/>
              <w:bottom w:w="65" w:type="dxa"/>
              <w:left w:w="65" w:type="dxa"/>
              <w:right w:w="65" w:type="dxa"/>
            </w:tcMar>
          </w:tcPr>
          <w:p>
            <w:r>
              <w:rPr>
                <w:sz w:val="16"/>
              </w:rPr>
              <w:t>List of 12 campus facilities</w:t>
            </w:r>
          </w:p>
        </w:tc>
        <w:tc>
          <w:tcPr>
            <w:tcW w:type="dxa" w:w="1560"/>
            <w:shd w:fill="FFFFFF"/>
            <w:tcMar>
              <w:top w:w="65" w:type="dxa"/>
              <w:bottom w:w="65" w:type="dxa"/>
              <w:left w:w="65" w:type="dxa"/>
              <w:right w:w="65" w:type="dxa"/>
            </w:tcMar>
          </w:tcPr>
          <w:p>
            <w:r>
              <w:rPr>
                <w:sz w:val="16"/>
              </w:rPr>
              <w:t>12 facilities returned</w:t>
            </w:r>
          </w:p>
        </w:tc>
        <w:tc>
          <w:tcPr>
            <w:tcW w:type="dxa" w:w="1560"/>
            <w:shd w:fill="FFFFFF"/>
            <w:tcMar>
              <w:top w:w="65" w:type="dxa"/>
              <w:bottom w:w="65" w:type="dxa"/>
              <w:left w:w="65" w:type="dxa"/>
              <w:right w:w="65" w:type="dxa"/>
            </w:tcMar>
          </w:tcPr>
          <w:p>
            <w:r>
              <w:rPr>
                <w:b/>
                <w:color w:val="10B981"/>
                <w:sz w:val="16"/>
              </w:rPr>
              <w:t>PASS</w:t>
            </w:r>
          </w:p>
        </w:tc>
      </w:tr>
      <w:tr>
        <w:tc>
          <w:tcPr>
            <w:tcW w:type="dxa" w:w="1560"/>
            <w:shd w:fill="F8FAFC"/>
            <w:tcMar>
              <w:top w:w="65" w:type="dxa"/>
              <w:bottom w:w="65" w:type="dxa"/>
              <w:left w:w="65" w:type="dxa"/>
              <w:right w:w="65" w:type="dxa"/>
            </w:tcMar>
          </w:tcPr>
          <w:p>
            <w:r>
              <w:rPr>
                <w:b/>
                <w:sz w:val="16"/>
              </w:rPr>
              <w:t>TC-04</w:t>
            </w:r>
          </w:p>
        </w:tc>
        <w:tc>
          <w:tcPr>
            <w:tcW w:type="dxa" w:w="1560"/>
            <w:shd w:fill="F8FAFC"/>
            <w:tcMar>
              <w:top w:w="65" w:type="dxa"/>
              <w:bottom w:w="65" w:type="dxa"/>
              <w:left w:w="65" w:type="dxa"/>
              <w:right w:w="65" w:type="dxa"/>
            </w:tcMar>
          </w:tcPr>
          <w:p>
            <w:r>
              <w:rPr>
                <w:sz w:val="16"/>
              </w:rPr>
              <w:t>Smart Meter Metadata</w:t>
            </w:r>
          </w:p>
        </w:tc>
        <w:tc>
          <w:tcPr>
            <w:tcW w:type="dxa" w:w="1560"/>
            <w:shd w:fill="F8FAFC"/>
            <w:tcMar>
              <w:top w:w="65" w:type="dxa"/>
              <w:bottom w:w="65" w:type="dxa"/>
              <w:left w:w="65" w:type="dxa"/>
              <w:right w:w="65" w:type="dxa"/>
            </w:tcMar>
          </w:tcPr>
          <w:p>
            <w:r>
              <w:rPr>
                <w:sz w:val="16"/>
              </w:rPr>
              <w:t>GET /api/v1/meters/?facility_id=1</w:t>
            </w:r>
          </w:p>
        </w:tc>
        <w:tc>
          <w:tcPr>
            <w:tcW w:type="dxa" w:w="1560"/>
            <w:shd w:fill="F8FAFC"/>
            <w:tcMar>
              <w:top w:w="65" w:type="dxa"/>
              <w:bottom w:w="65" w:type="dxa"/>
              <w:left w:w="65" w:type="dxa"/>
              <w:right w:w="65" w:type="dxa"/>
            </w:tcMar>
          </w:tcPr>
          <w:p>
            <w:r>
              <w:rPr>
                <w:sz w:val="16"/>
              </w:rPr>
              <w:t>Meters associated with facility</w:t>
            </w:r>
          </w:p>
        </w:tc>
        <w:tc>
          <w:tcPr>
            <w:tcW w:type="dxa" w:w="1560"/>
            <w:shd w:fill="F8FAFC"/>
            <w:tcMar>
              <w:top w:w="65" w:type="dxa"/>
              <w:bottom w:w="65" w:type="dxa"/>
              <w:left w:w="65" w:type="dxa"/>
              <w:right w:w="65" w:type="dxa"/>
            </w:tcMar>
          </w:tcPr>
          <w:p>
            <w:r>
              <w:rPr>
                <w:sz w:val="16"/>
              </w:rPr>
              <w:t>Meters retrieved accurately</w:t>
            </w:r>
          </w:p>
        </w:tc>
        <w:tc>
          <w:tcPr>
            <w:tcW w:type="dxa" w:w="1560"/>
            <w:shd w:fill="F8FAFC"/>
            <w:tcMar>
              <w:top w:w="65" w:type="dxa"/>
              <w:bottom w:w="65" w:type="dxa"/>
              <w:left w:w="65" w:type="dxa"/>
              <w:right w:w="65" w:type="dxa"/>
            </w:tcMar>
          </w:tcPr>
          <w:p>
            <w:r>
              <w:rPr>
                <w:b/>
                <w:color w:val="10B981"/>
                <w:sz w:val="16"/>
              </w:rPr>
              <w:t>PASS</w:t>
            </w:r>
          </w:p>
        </w:tc>
      </w:tr>
      <w:tr>
        <w:tc>
          <w:tcPr>
            <w:tcW w:type="dxa" w:w="1560"/>
            <w:shd w:fill="FFFFFF"/>
            <w:tcMar>
              <w:top w:w="65" w:type="dxa"/>
              <w:bottom w:w="65" w:type="dxa"/>
              <w:left w:w="65" w:type="dxa"/>
              <w:right w:w="65" w:type="dxa"/>
            </w:tcMar>
          </w:tcPr>
          <w:p>
            <w:r>
              <w:rPr>
                <w:b/>
                <w:sz w:val="16"/>
              </w:rPr>
              <w:t>TC-05</w:t>
            </w:r>
          </w:p>
        </w:tc>
        <w:tc>
          <w:tcPr>
            <w:tcW w:type="dxa" w:w="1560"/>
            <w:shd w:fill="FFFFFF"/>
            <w:tcMar>
              <w:top w:w="65" w:type="dxa"/>
              <w:bottom w:w="65" w:type="dxa"/>
              <w:left w:w="65" w:type="dxa"/>
              <w:right w:w="65" w:type="dxa"/>
            </w:tcMar>
          </w:tcPr>
          <w:p>
            <w:r>
              <w:rPr>
                <w:sz w:val="16"/>
              </w:rPr>
              <w:t>Real-Time Telemetry</w:t>
            </w:r>
          </w:p>
        </w:tc>
        <w:tc>
          <w:tcPr>
            <w:tcW w:type="dxa" w:w="1560"/>
            <w:shd w:fill="FFFFFF"/>
            <w:tcMar>
              <w:top w:w="65" w:type="dxa"/>
              <w:bottom w:w="65" w:type="dxa"/>
              <w:left w:w="65" w:type="dxa"/>
              <w:right w:w="65" w:type="dxa"/>
            </w:tcMar>
          </w:tcPr>
          <w:p>
            <w:r>
              <w:rPr>
                <w:sz w:val="16"/>
              </w:rPr>
              <w:t>GET /api/v1/energy/telemetry/?meter_id=1</w:t>
            </w:r>
          </w:p>
        </w:tc>
        <w:tc>
          <w:tcPr>
            <w:tcW w:type="dxa" w:w="1560"/>
            <w:shd w:fill="FFFFFF"/>
            <w:tcMar>
              <w:top w:w="65" w:type="dxa"/>
              <w:bottom w:w="65" w:type="dxa"/>
              <w:left w:w="65" w:type="dxa"/>
              <w:right w:w="65" w:type="dxa"/>
            </w:tcMar>
          </w:tcPr>
          <w:p>
            <w:r>
              <w:rPr>
                <w:sz w:val="16"/>
              </w:rPr>
              <w:t>kW, kWh, kVAR, PF, THD fields</w:t>
            </w:r>
          </w:p>
        </w:tc>
        <w:tc>
          <w:tcPr>
            <w:tcW w:type="dxa" w:w="1560"/>
            <w:shd w:fill="FFFFFF"/>
            <w:tcMar>
              <w:top w:w="65" w:type="dxa"/>
              <w:bottom w:w="65" w:type="dxa"/>
              <w:left w:w="65" w:type="dxa"/>
              <w:right w:w="65" w:type="dxa"/>
            </w:tcMar>
          </w:tcPr>
          <w:p>
            <w:r>
              <w:rPr>
                <w:sz w:val="16"/>
              </w:rPr>
              <w:t>All electrical metrics present</w:t>
            </w:r>
          </w:p>
        </w:tc>
        <w:tc>
          <w:tcPr>
            <w:tcW w:type="dxa" w:w="1560"/>
            <w:shd w:fill="FFFFFF"/>
            <w:tcMar>
              <w:top w:w="65" w:type="dxa"/>
              <w:bottom w:w="65" w:type="dxa"/>
              <w:left w:w="65" w:type="dxa"/>
              <w:right w:w="65" w:type="dxa"/>
            </w:tcMar>
          </w:tcPr>
          <w:p>
            <w:r>
              <w:rPr>
                <w:b/>
                <w:color w:val="10B981"/>
                <w:sz w:val="16"/>
              </w:rPr>
              <w:t>PASS</w:t>
            </w:r>
          </w:p>
        </w:tc>
      </w:tr>
      <w:tr>
        <w:tc>
          <w:tcPr>
            <w:tcW w:type="dxa" w:w="1560"/>
            <w:shd w:fill="F8FAFC"/>
            <w:tcMar>
              <w:top w:w="65" w:type="dxa"/>
              <w:bottom w:w="65" w:type="dxa"/>
              <w:left w:w="65" w:type="dxa"/>
              <w:right w:w="65" w:type="dxa"/>
            </w:tcMar>
          </w:tcPr>
          <w:p>
            <w:r>
              <w:rPr>
                <w:b/>
                <w:sz w:val="16"/>
              </w:rPr>
              <w:t>TC-06</w:t>
            </w:r>
          </w:p>
        </w:tc>
        <w:tc>
          <w:tcPr>
            <w:tcW w:type="dxa" w:w="1560"/>
            <w:shd w:fill="F8FAFC"/>
            <w:tcMar>
              <w:top w:w="65" w:type="dxa"/>
              <w:bottom w:w="65" w:type="dxa"/>
              <w:left w:w="65" w:type="dxa"/>
              <w:right w:w="65" w:type="dxa"/>
            </w:tcMar>
          </w:tcPr>
          <w:p>
            <w:r>
              <w:rPr>
                <w:sz w:val="16"/>
              </w:rPr>
              <w:t>Daily Rollup Aggregation</w:t>
            </w:r>
          </w:p>
        </w:tc>
        <w:tc>
          <w:tcPr>
            <w:tcW w:type="dxa" w:w="1560"/>
            <w:shd w:fill="F8FAFC"/>
            <w:tcMar>
              <w:top w:w="65" w:type="dxa"/>
              <w:bottom w:w="65" w:type="dxa"/>
              <w:left w:w="65" w:type="dxa"/>
              <w:right w:w="65" w:type="dxa"/>
            </w:tcMar>
          </w:tcPr>
          <w:p>
            <w:r>
              <w:rPr>
                <w:sz w:val="16"/>
              </w:rPr>
              <w:t>GET /api/v1/energy/daily-aggregates/</w:t>
            </w:r>
          </w:p>
        </w:tc>
        <w:tc>
          <w:tcPr>
            <w:tcW w:type="dxa" w:w="1560"/>
            <w:shd w:fill="F8FAFC"/>
            <w:tcMar>
              <w:top w:w="65" w:type="dxa"/>
              <w:bottom w:w="65" w:type="dxa"/>
              <w:left w:w="65" w:type="dxa"/>
              <w:right w:w="65" w:type="dxa"/>
            </w:tcMar>
          </w:tcPr>
          <w:p>
            <w:r>
              <w:rPr>
                <w:sz w:val="16"/>
              </w:rPr>
              <w:t>Historical daily kWh totals</w:t>
            </w:r>
          </w:p>
        </w:tc>
        <w:tc>
          <w:tcPr>
            <w:tcW w:type="dxa" w:w="1560"/>
            <w:shd w:fill="F8FAFC"/>
            <w:tcMar>
              <w:top w:w="65" w:type="dxa"/>
              <w:bottom w:w="65" w:type="dxa"/>
              <w:left w:w="65" w:type="dxa"/>
              <w:right w:w="65" w:type="dxa"/>
            </w:tcMar>
          </w:tcPr>
          <w:p>
            <w:r>
              <w:rPr>
                <w:sz w:val="16"/>
              </w:rPr>
              <w:t>Aggregates loaded in 18ms</w:t>
            </w:r>
          </w:p>
        </w:tc>
        <w:tc>
          <w:tcPr>
            <w:tcW w:type="dxa" w:w="1560"/>
            <w:shd w:fill="F8FAFC"/>
            <w:tcMar>
              <w:top w:w="65" w:type="dxa"/>
              <w:bottom w:w="65" w:type="dxa"/>
              <w:left w:w="65" w:type="dxa"/>
              <w:right w:w="65" w:type="dxa"/>
            </w:tcMar>
          </w:tcPr>
          <w:p>
            <w:r>
              <w:rPr>
                <w:b/>
                <w:color w:val="10B981"/>
                <w:sz w:val="16"/>
              </w:rPr>
              <w:t>PASS</w:t>
            </w:r>
          </w:p>
        </w:tc>
      </w:tr>
      <w:tr>
        <w:tc>
          <w:tcPr>
            <w:tcW w:type="dxa" w:w="1560"/>
            <w:shd w:fill="FFFFFF"/>
            <w:tcMar>
              <w:top w:w="65" w:type="dxa"/>
              <w:bottom w:w="65" w:type="dxa"/>
              <w:left w:w="65" w:type="dxa"/>
              <w:right w:w="65" w:type="dxa"/>
            </w:tcMar>
          </w:tcPr>
          <w:p>
            <w:r>
              <w:rPr>
                <w:b/>
                <w:sz w:val="16"/>
              </w:rPr>
              <w:t>TC-07</w:t>
            </w:r>
          </w:p>
        </w:tc>
        <w:tc>
          <w:tcPr>
            <w:tcW w:type="dxa" w:w="1560"/>
            <w:shd w:fill="FFFFFF"/>
            <w:tcMar>
              <w:top w:w="65" w:type="dxa"/>
              <w:bottom w:w="65" w:type="dxa"/>
              <w:left w:w="65" w:type="dxa"/>
              <w:right w:w="65" w:type="dxa"/>
            </w:tcMar>
          </w:tcPr>
          <w:p>
            <w:r>
              <w:rPr>
                <w:sz w:val="16"/>
              </w:rPr>
              <w:t>Solar PV Monitoring</w:t>
            </w:r>
          </w:p>
        </w:tc>
        <w:tc>
          <w:tcPr>
            <w:tcW w:type="dxa" w:w="1560"/>
            <w:shd w:fill="FFFFFF"/>
            <w:tcMar>
              <w:top w:w="65" w:type="dxa"/>
              <w:bottom w:w="65" w:type="dxa"/>
              <w:left w:w="65" w:type="dxa"/>
              <w:right w:w="65" w:type="dxa"/>
            </w:tcMar>
          </w:tcPr>
          <w:p>
            <w:r>
              <w:rPr>
                <w:sz w:val="16"/>
              </w:rPr>
              <w:t>GET /api/v1/renewable/solar/</w:t>
            </w:r>
          </w:p>
        </w:tc>
        <w:tc>
          <w:tcPr>
            <w:tcW w:type="dxa" w:w="1560"/>
            <w:shd w:fill="FFFFFF"/>
            <w:tcMar>
              <w:top w:w="65" w:type="dxa"/>
              <w:bottom w:w="65" w:type="dxa"/>
              <w:left w:w="65" w:type="dxa"/>
              <w:right w:w="65" w:type="dxa"/>
            </w:tcMar>
          </w:tcPr>
          <w:p>
            <w:r>
              <w:rPr>
                <w:sz w:val="16"/>
              </w:rPr>
              <w:t>Capacity kW, yield &amp; efficiency</w:t>
            </w:r>
          </w:p>
        </w:tc>
        <w:tc>
          <w:tcPr>
            <w:tcW w:type="dxa" w:w="1560"/>
            <w:shd w:fill="FFFFFF"/>
            <w:tcMar>
              <w:top w:w="65" w:type="dxa"/>
              <w:bottom w:w="65" w:type="dxa"/>
              <w:left w:w="65" w:type="dxa"/>
              <w:right w:w="65" w:type="dxa"/>
            </w:tcMar>
          </w:tcPr>
          <w:p>
            <w:r>
              <w:rPr>
                <w:sz w:val="16"/>
              </w:rPr>
              <w:t>Solar telemetry rendered</w:t>
            </w:r>
          </w:p>
        </w:tc>
        <w:tc>
          <w:tcPr>
            <w:tcW w:type="dxa" w:w="1560"/>
            <w:shd w:fill="FFFFFF"/>
            <w:tcMar>
              <w:top w:w="65" w:type="dxa"/>
              <w:bottom w:w="65" w:type="dxa"/>
              <w:left w:w="65" w:type="dxa"/>
              <w:right w:w="65" w:type="dxa"/>
            </w:tcMar>
          </w:tcPr>
          <w:p>
            <w:r>
              <w:rPr>
                <w:b/>
                <w:color w:val="10B981"/>
                <w:sz w:val="16"/>
              </w:rPr>
              <w:t>PASS</w:t>
            </w:r>
          </w:p>
        </w:tc>
      </w:tr>
      <w:tr>
        <w:tc>
          <w:tcPr>
            <w:tcW w:type="dxa" w:w="1560"/>
            <w:shd w:fill="F8FAFC"/>
            <w:tcMar>
              <w:top w:w="65" w:type="dxa"/>
              <w:bottom w:w="65" w:type="dxa"/>
              <w:left w:w="65" w:type="dxa"/>
              <w:right w:w="65" w:type="dxa"/>
            </w:tcMar>
          </w:tcPr>
          <w:p>
            <w:r>
              <w:rPr>
                <w:b/>
                <w:sz w:val="16"/>
              </w:rPr>
              <w:t>TC-08</w:t>
            </w:r>
          </w:p>
        </w:tc>
        <w:tc>
          <w:tcPr>
            <w:tcW w:type="dxa" w:w="1560"/>
            <w:shd w:fill="F8FAFC"/>
            <w:tcMar>
              <w:top w:w="65" w:type="dxa"/>
              <w:bottom w:w="65" w:type="dxa"/>
              <w:left w:w="65" w:type="dxa"/>
              <w:right w:w="65" w:type="dxa"/>
            </w:tcMar>
          </w:tcPr>
          <w:p>
            <w:r>
              <w:rPr>
                <w:sz w:val="16"/>
              </w:rPr>
              <w:t>BESS Battery Supervision</w:t>
            </w:r>
          </w:p>
        </w:tc>
        <w:tc>
          <w:tcPr>
            <w:tcW w:type="dxa" w:w="1560"/>
            <w:shd w:fill="F8FAFC"/>
            <w:tcMar>
              <w:top w:w="65" w:type="dxa"/>
              <w:bottom w:w="65" w:type="dxa"/>
              <w:left w:w="65" w:type="dxa"/>
              <w:right w:w="65" w:type="dxa"/>
            </w:tcMar>
          </w:tcPr>
          <w:p>
            <w:r>
              <w:rPr>
                <w:sz w:val="16"/>
              </w:rPr>
              <w:t>GET /api/v1/renewable/bess/</w:t>
            </w:r>
          </w:p>
        </w:tc>
        <w:tc>
          <w:tcPr>
            <w:tcW w:type="dxa" w:w="1560"/>
            <w:shd w:fill="F8FAFC"/>
            <w:tcMar>
              <w:top w:w="65" w:type="dxa"/>
              <w:bottom w:w="65" w:type="dxa"/>
              <w:left w:w="65" w:type="dxa"/>
              <w:right w:w="65" w:type="dxa"/>
            </w:tcMar>
          </w:tcPr>
          <w:p>
            <w:r>
              <w:rPr>
                <w:sz w:val="16"/>
              </w:rPr>
              <w:t>SoC %, charge rate, temp °C</w:t>
            </w:r>
          </w:p>
        </w:tc>
        <w:tc>
          <w:tcPr>
            <w:tcW w:type="dxa" w:w="1560"/>
            <w:shd w:fill="F8FAFC"/>
            <w:tcMar>
              <w:top w:w="65" w:type="dxa"/>
              <w:bottom w:w="65" w:type="dxa"/>
              <w:left w:w="65" w:type="dxa"/>
              <w:right w:w="65" w:type="dxa"/>
            </w:tcMar>
          </w:tcPr>
          <w:p>
            <w:r>
              <w:rPr>
                <w:sz w:val="16"/>
              </w:rPr>
              <w:t>BESS telemetry rendered</w:t>
            </w:r>
          </w:p>
        </w:tc>
        <w:tc>
          <w:tcPr>
            <w:tcW w:type="dxa" w:w="1560"/>
            <w:shd w:fill="F8FAFC"/>
            <w:tcMar>
              <w:top w:w="65" w:type="dxa"/>
              <w:bottom w:w="65" w:type="dxa"/>
              <w:left w:w="65" w:type="dxa"/>
              <w:right w:w="65" w:type="dxa"/>
            </w:tcMar>
          </w:tcPr>
          <w:p>
            <w:r>
              <w:rPr>
                <w:b/>
                <w:color w:val="10B981"/>
                <w:sz w:val="16"/>
              </w:rPr>
              <w:t>PASS</w:t>
            </w:r>
          </w:p>
        </w:tc>
      </w:tr>
      <w:tr>
        <w:tc>
          <w:tcPr>
            <w:tcW w:type="dxa" w:w="1560"/>
            <w:shd w:fill="FFFFFF"/>
            <w:tcMar>
              <w:top w:w="65" w:type="dxa"/>
              <w:bottom w:w="65" w:type="dxa"/>
              <w:left w:w="65" w:type="dxa"/>
              <w:right w:w="65" w:type="dxa"/>
            </w:tcMar>
          </w:tcPr>
          <w:p>
            <w:r>
              <w:rPr>
                <w:b/>
                <w:sz w:val="16"/>
              </w:rPr>
              <w:t>TC-09</w:t>
            </w:r>
          </w:p>
        </w:tc>
        <w:tc>
          <w:tcPr>
            <w:tcW w:type="dxa" w:w="1560"/>
            <w:shd w:fill="FFFFFF"/>
            <w:tcMar>
              <w:top w:w="65" w:type="dxa"/>
              <w:bottom w:w="65" w:type="dxa"/>
              <w:left w:w="65" w:type="dxa"/>
              <w:right w:w="65" w:type="dxa"/>
            </w:tcMar>
          </w:tcPr>
          <w:p>
            <w:r>
              <w:rPr>
                <w:sz w:val="16"/>
              </w:rPr>
              <w:t>Multi-Tier Billing Math</w:t>
            </w:r>
          </w:p>
        </w:tc>
        <w:tc>
          <w:tcPr>
            <w:tcW w:type="dxa" w:w="1560"/>
            <w:shd w:fill="FFFFFF"/>
            <w:tcMar>
              <w:top w:w="65" w:type="dxa"/>
              <w:bottom w:w="65" w:type="dxa"/>
              <w:left w:w="65" w:type="dxa"/>
              <w:right w:w="65" w:type="dxa"/>
            </w:tcMar>
          </w:tcPr>
          <w:p>
            <w:r>
              <w:rPr>
                <w:sz w:val="16"/>
              </w:rPr>
              <w:t>Execute tariff computation on 15,000 kWh</w:t>
            </w:r>
          </w:p>
        </w:tc>
        <w:tc>
          <w:tcPr>
            <w:tcW w:type="dxa" w:w="1560"/>
            <w:shd w:fill="FFFFFF"/>
            <w:tcMar>
              <w:top w:w="65" w:type="dxa"/>
              <w:bottom w:w="65" w:type="dxa"/>
              <w:left w:w="65" w:type="dxa"/>
              <w:right w:w="65" w:type="dxa"/>
            </w:tcMar>
          </w:tcPr>
          <w:p>
            <w:r>
              <w:rPr>
                <w:sz w:val="16"/>
              </w:rPr>
              <w:t>Tier 1 + Tier 2 + Tax math</w:t>
            </w:r>
          </w:p>
        </w:tc>
        <w:tc>
          <w:tcPr>
            <w:tcW w:type="dxa" w:w="1560"/>
            <w:shd w:fill="FFFFFF"/>
            <w:tcMar>
              <w:top w:w="65" w:type="dxa"/>
              <w:bottom w:w="65" w:type="dxa"/>
              <w:left w:w="65" w:type="dxa"/>
              <w:right w:w="65" w:type="dxa"/>
            </w:tcMar>
          </w:tcPr>
          <w:p>
            <w:r>
              <w:rPr>
                <w:sz w:val="16"/>
              </w:rPr>
              <w:t>Exact penny-accurate calculation</w:t>
            </w:r>
          </w:p>
        </w:tc>
        <w:tc>
          <w:tcPr>
            <w:tcW w:type="dxa" w:w="1560"/>
            <w:shd w:fill="FFFFFF"/>
            <w:tcMar>
              <w:top w:w="65" w:type="dxa"/>
              <w:bottom w:w="65" w:type="dxa"/>
              <w:left w:w="65" w:type="dxa"/>
              <w:right w:w="65" w:type="dxa"/>
            </w:tcMar>
          </w:tcPr>
          <w:p>
            <w:r>
              <w:rPr>
                <w:b/>
                <w:color w:val="10B981"/>
                <w:sz w:val="16"/>
              </w:rPr>
              <w:t>PASS</w:t>
            </w:r>
          </w:p>
        </w:tc>
      </w:tr>
      <w:tr>
        <w:tc>
          <w:tcPr>
            <w:tcW w:type="dxa" w:w="1560"/>
            <w:shd w:fill="F8FAFC"/>
            <w:tcMar>
              <w:top w:w="65" w:type="dxa"/>
              <w:bottom w:w="65" w:type="dxa"/>
              <w:left w:w="65" w:type="dxa"/>
              <w:right w:w="65" w:type="dxa"/>
            </w:tcMar>
          </w:tcPr>
          <w:p>
            <w:r>
              <w:rPr>
                <w:b/>
                <w:sz w:val="16"/>
              </w:rPr>
              <w:t>TC-10</w:t>
            </w:r>
          </w:p>
        </w:tc>
        <w:tc>
          <w:tcPr>
            <w:tcW w:type="dxa" w:w="1560"/>
            <w:shd w:fill="F8FAFC"/>
            <w:tcMar>
              <w:top w:w="65" w:type="dxa"/>
              <w:bottom w:w="65" w:type="dxa"/>
              <w:left w:w="65" w:type="dxa"/>
              <w:right w:w="65" w:type="dxa"/>
            </w:tcMar>
          </w:tcPr>
          <w:p>
            <w:r>
              <w:rPr>
                <w:sz w:val="16"/>
              </w:rPr>
              <w:t>CSV Invoice Export</w:t>
            </w:r>
          </w:p>
        </w:tc>
        <w:tc>
          <w:tcPr>
            <w:tcW w:type="dxa" w:w="1560"/>
            <w:shd w:fill="F8FAFC"/>
            <w:tcMar>
              <w:top w:w="65" w:type="dxa"/>
              <w:bottom w:w="65" w:type="dxa"/>
              <w:left w:w="65" w:type="dxa"/>
              <w:right w:w="65" w:type="dxa"/>
            </w:tcMar>
          </w:tcPr>
          <w:p>
            <w:r>
              <w:rPr>
                <w:sz w:val="16"/>
              </w:rPr>
              <w:t>GET /api/v1/billing/export.csv</w:t>
            </w:r>
          </w:p>
        </w:tc>
        <w:tc>
          <w:tcPr>
            <w:tcW w:type="dxa" w:w="1560"/>
            <w:shd w:fill="F8FAFC"/>
            <w:tcMar>
              <w:top w:w="65" w:type="dxa"/>
              <w:bottom w:w="65" w:type="dxa"/>
              <w:left w:w="65" w:type="dxa"/>
              <w:right w:w="65" w:type="dxa"/>
            </w:tcMar>
          </w:tcPr>
          <w:p>
            <w:r>
              <w:rPr>
                <w:sz w:val="16"/>
              </w:rPr>
              <w:t>Content-Type: text/csv download</w:t>
            </w:r>
          </w:p>
        </w:tc>
        <w:tc>
          <w:tcPr>
            <w:tcW w:type="dxa" w:w="1560"/>
            <w:shd w:fill="F8FAFC"/>
            <w:tcMar>
              <w:top w:w="65" w:type="dxa"/>
              <w:bottom w:w="65" w:type="dxa"/>
              <w:left w:w="65" w:type="dxa"/>
              <w:right w:w="65" w:type="dxa"/>
            </w:tcMar>
          </w:tcPr>
          <w:p>
            <w:r>
              <w:rPr>
                <w:sz w:val="16"/>
              </w:rPr>
              <w:t>Valid RFC 4180 CSV generated</w:t>
            </w:r>
          </w:p>
        </w:tc>
        <w:tc>
          <w:tcPr>
            <w:tcW w:type="dxa" w:w="1560"/>
            <w:shd w:fill="F8FAFC"/>
            <w:tcMar>
              <w:top w:w="65" w:type="dxa"/>
              <w:bottom w:w="65" w:type="dxa"/>
              <w:left w:w="65" w:type="dxa"/>
              <w:right w:w="65" w:type="dxa"/>
            </w:tcMar>
          </w:tcPr>
          <w:p>
            <w:r>
              <w:rPr>
                <w:b/>
                <w:color w:val="10B981"/>
                <w:sz w:val="16"/>
              </w:rPr>
              <w:t>PASS</w:t>
            </w:r>
          </w:p>
        </w:tc>
      </w:tr>
      <w:tr>
        <w:tc>
          <w:tcPr>
            <w:tcW w:type="dxa" w:w="1560"/>
            <w:shd w:fill="FFFFFF"/>
            <w:tcMar>
              <w:top w:w="65" w:type="dxa"/>
              <w:bottom w:w="65" w:type="dxa"/>
              <w:left w:w="65" w:type="dxa"/>
              <w:right w:w="65" w:type="dxa"/>
            </w:tcMar>
          </w:tcPr>
          <w:p>
            <w:r>
              <w:rPr>
                <w:b/>
                <w:sz w:val="16"/>
              </w:rPr>
              <w:t>TC-11</w:t>
            </w:r>
          </w:p>
        </w:tc>
        <w:tc>
          <w:tcPr>
            <w:tcW w:type="dxa" w:w="1560"/>
            <w:shd w:fill="FFFFFF"/>
            <w:tcMar>
              <w:top w:w="65" w:type="dxa"/>
              <w:bottom w:w="65" w:type="dxa"/>
              <w:left w:w="65" w:type="dxa"/>
              <w:right w:w="65" w:type="dxa"/>
            </w:tcMar>
          </w:tcPr>
          <w:p>
            <w:r>
              <w:rPr>
                <w:sz w:val="16"/>
              </w:rPr>
              <w:t>Metrology Analytics</w:t>
            </w:r>
          </w:p>
        </w:tc>
        <w:tc>
          <w:tcPr>
            <w:tcW w:type="dxa" w:w="1560"/>
            <w:shd w:fill="FFFFFF"/>
            <w:tcMar>
              <w:top w:w="65" w:type="dxa"/>
              <w:bottom w:w="65" w:type="dxa"/>
              <w:left w:w="65" w:type="dxa"/>
              <w:right w:w="65" w:type="dxa"/>
            </w:tcMar>
          </w:tcPr>
          <w:p>
            <w:r>
              <w:rPr>
                <w:sz w:val="16"/>
              </w:rPr>
              <w:t>GET /api/v1/analytics/metrology/</w:t>
            </w:r>
          </w:p>
        </w:tc>
        <w:tc>
          <w:tcPr>
            <w:tcW w:type="dxa" w:w="1560"/>
            <w:shd w:fill="FFFFFF"/>
            <w:tcMar>
              <w:top w:w="65" w:type="dxa"/>
              <w:bottom w:w="65" w:type="dxa"/>
              <w:left w:w="65" w:type="dxa"/>
              <w:right w:w="65" w:type="dxa"/>
            </w:tcMar>
          </w:tcPr>
          <w:p>
            <w:r>
              <w:rPr>
                <w:sz w:val="16"/>
              </w:rPr>
              <w:t>PF distribution &amp; THD values</w:t>
            </w:r>
          </w:p>
        </w:tc>
        <w:tc>
          <w:tcPr>
            <w:tcW w:type="dxa" w:w="1560"/>
            <w:shd w:fill="FFFFFF"/>
            <w:tcMar>
              <w:top w:w="65" w:type="dxa"/>
              <w:bottom w:w="65" w:type="dxa"/>
              <w:left w:w="65" w:type="dxa"/>
              <w:right w:w="65" w:type="dxa"/>
            </w:tcMar>
          </w:tcPr>
          <w:p>
            <w:r>
              <w:rPr>
                <w:sz w:val="16"/>
              </w:rPr>
              <w:t>Accurate distribution array</w:t>
            </w:r>
          </w:p>
        </w:tc>
        <w:tc>
          <w:tcPr>
            <w:tcW w:type="dxa" w:w="1560"/>
            <w:shd w:fill="FFFFFF"/>
            <w:tcMar>
              <w:top w:w="65" w:type="dxa"/>
              <w:bottom w:w="65" w:type="dxa"/>
              <w:left w:w="65" w:type="dxa"/>
              <w:right w:w="65" w:type="dxa"/>
            </w:tcMar>
          </w:tcPr>
          <w:p>
            <w:r>
              <w:rPr>
                <w:b/>
                <w:color w:val="10B981"/>
                <w:sz w:val="16"/>
              </w:rPr>
              <w:t>PASS</w:t>
            </w:r>
          </w:p>
        </w:tc>
      </w:tr>
      <w:tr>
        <w:tc>
          <w:tcPr>
            <w:tcW w:type="dxa" w:w="1560"/>
            <w:shd w:fill="F8FAFC"/>
            <w:tcMar>
              <w:top w:w="65" w:type="dxa"/>
              <w:bottom w:w="65" w:type="dxa"/>
              <w:left w:w="65" w:type="dxa"/>
              <w:right w:w="65" w:type="dxa"/>
            </w:tcMar>
          </w:tcPr>
          <w:p>
            <w:r>
              <w:rPr>
                <w:b/>
                <w:sz w:val="16"/>
              </w:rPr>
              <w:t>TC-12</w:t>
            </w:r>
          </w:p>
        </w:tc>
        <w:tc>
          <w:tcPr>
            <w:tcW w:type="dxa" w:w="1560"/>
            <w:shd w:fill="F8FAFC"/>
            <w:tcMar>
              <w:top w:w="65" w:type="dxa"/>
              <w:bottom w:w="65" w:type="dxa"/>
              <w:left w:w="65" w:type="dxa"/>
              <w:right w:w="65" w:type="dxa"/>
            </w:tcMar>
          </w:tcPr>
          <w:p>
            <w:r>
              <w:rPr>
                <w:sz w:val="16"/>
              </w:rPr>
              <w:t>Demand Forecasting</w:t>
            </w:r>
          </w:p>
        </w:tc>
        <w:tc>
          <w:tcPr>
            <w:tcW w:type="dxa" w:w="1560"/>
            <w:shd w:fill="F8FAFC"/>
            <w:tcMar>
              <w:top w:w="65" w:type="dxa"/>
              <w:bottom w:w="65" w:type="dxa"/>
              <w:left w:w="65" w:type="dxa"/>
              <w:right w:w="65" w:type="dxa"/>
            </w:tcMar>
          </w:tcPr>
          <w:p>
            <w:r>
              <w:rPr>
                <w:sz w:val="16"/>
              </w:rPr>
              <w:t>GET /api/v1/forecast/demand/?horizon_days=7</w:t>
            </w:r>
          </w:p>
        </w:tc>
        <w:tc>
          <w:tcPr>
            <w:tcW w:type="dxa" w:w="1560"/>
            <w:shd w:fill="F8FAFC"/>
            <w:tcMar>
              <w:top w:w="65" w:type="dxa"/>
              <w:bottom w:w="65" w:type="dxa"/>
              <w:left w:w="65" w:type="dxa"/>
              <w:right w:w="65" w:type="dxa"/>
            </w:tcMar>
          </w:tcPr>
          <w:p>
            <w:r>
              <w:rPr>
                <w:sz w:val="16"/>
              </w:rPr>
              <w:t>7-day predicted peak kW &amp; bounds</w:t>
            </w:r>
          </w:p>
        </w:tc>
        <w:tc>
          <w:tcPr>
            <w:tcW w:type="dxa" w:w="1560"/>
            <w:shd w:fill="F8FAFC"/>
            <w:tcMar>
              <w:top w:w="65" w:type="dxa"/>
              <w:bottom w:w="65" w:type="dxa"/>
              <w:left w:w="65" w:type="dxa"/>
              <w:right w:w="65" w:type="dxa"/>
            </w:tcMar>
          </w:tcPr>
          <w:p>
            <w:r>
              <w:rPr>
                <w:sz w:val="16"/>
              </w:rPr>
              <w:t>Scikit-learn model generated</w:t>
            </w:r>
          </w:p>
        </w:tc>
        <w:tc>
          <w:tcPr>
            <w:tcW w:type="dxa" w:w="1560"/>
            <w:shd w:fill="F8FAFC"/>
            <w:tcMar>
              <w:top w:w="65" w:type="dxa"/>
              <w:bottom w:w="65" w:type="dxa"/>
              <w:left w:w="65" w:type="dxa"/>
              <w:right w:w="65" w:type="dxa"/>
            </w:tcMar>
          </w:tcPr>
          <w:p>
            <w:r>
              <w:rPr>
                <w:b/>
                <w:color w:val="10B981"/>
                <w:sz w:val="16"/>
              </w:rPr>
              <w:t>PASS</w:t>
            </w:r>
          </w:p>
        </w:tc>
      </w:tr>
      <w:tr>
        <w:tc>
          <w:tcPr>
            <w:tcW w:type="dxa" w:w="1560"/>
            <w:shd w:fill="FFFFFF"/>
            <w:tcMar>
              <w:top w:w="65" w:type="dxa"/>
              <w:bottom w:w="65" w:type="dxa"/>
              <w:left w:w="65" w:type="dxa"/>
              <w:right w:w="65" w:type="dxa"/>
            </w:tcMar>
          </w:tcPr>
          <w:p>
            <w:r>
              <w:rPr>
                <w:b/>
                <w:sz w:val="16"/>
              </w:rPr>
              <w:t>TC-13</w:t>
            </w:r>
          </w:p>
        </w:tc>
        <w:tc>
          <w:tcPr>
            <w:tcW w:type="dxa" w:w="1560"/>
            <w:shd w:fill="FFFFFF"/>
            <w:tcMar>
              <w:top w:w="65" w:type="dxa"/>
              <w:bottom w:w="65" w:type="dxa"/>
              <w:left w:w="65" w:type="dxa"/>
              <w:right w:w="65" w:type="dxa"/>
            </w:tcMar>
          </w:tcPr>
          <w:p>
            <w:r>
              <w:rPr>
                <w:sz w:val="16"/>
              </w:rPr>
              <w:t>Alert Ingestion &amp; Ack</w:t>
            </w:r>
          </w:p>
        </w:tc>
        <w:tc>
          <w:tcPr>
            <w:tcW w:type="dxa" w:w="1560"/>
            <w:shd w:fill="FFFFFF"/>
            <w:tcMar>
              <w:top w:w="65" w:type="dxa"/>
              <w:bottom w:w="65" w:type="dxa"/>
              <w:left w:w="65" w:type="dxa"/>
              <w:right w:w="65" w:type="dxa"/>
            </w:tcMar>
          </w:tcPr>
          <w:p>
            <w:r>
              <w:rPr>
                <w:sz w:val="16"/>
              </w:rPr>
              <w:t>POST /api/v1/alerts/1/acknowledge/</w:t>
            </w:r>
          </w:p>
        </w:tc>
        <w:tc>
          <w:tcPr>
            <w:tcW w:type="dxa" w:w="1560"/>
            <w:shd w:fill="FFFFFF"/>
            <w:tcMar>
              <w:top w:w="65" w:type="dxa"/>
              <w:bottom w:w="65" w:type="dxa"/>
              <w:left w:w="65" w:type="dxa"/>
              <w:right w:w="65" w:type="dxa"/>
            </w:tcMar>
          </w:tcPr>
          <w:p>
            <w:r>
              <w:rPr>
                <w:sz w:val="16"/>
              </w:rPr>
              <w:t>is_acknowledged set to True</w:t>
            </w:r>
          </w:p>
        </w:tc>
        <w:tc>
          <w:tcPr>
            <w:tcW w:type="dxa" w:w="1560"/>
            <w:shd w:fill="FFFFFF"/>
            <w:tcMar>
              <w:top w:w="65" w:type="dxa"/>
              <w:bottom w:w="65" w:type="dxa"/>
              <w:left w:w="65" w:type="dxa"/>
              <w:right w:w="65" w:type="dxa"/>
            </w:tcMar>
          </w:tcPr>
          <w:p>
            <w:r>
              <w:rPr>
                <w:sz w:val="16"/>
              </w:rPr>
              <w:t>Database updated successfully</w:t>
            </w:r>
          </w:p>
        </w:tc>
        <w:tc>
          <w:tcPr>
            <w:tcW w:type="dxa" w:w="1560"/>
            <w:shd w:fill="FFFFFF"/>
            <w:tcMar>
              <w:top w:w="65" w:type="dxa"/>
              <w:bottom w:w="65" w:type="dxa"/>
              <w:left w:w="65" w:type="dxa"/>
              <w:right w:w="65" w:type="dxa"/>
            </w:tcMar>
          </w:tcPr>
          <w:p>
            <w:r>
              <w:rPr>
                <w:b/>
                <w:color w:val="10B981"/>
                <w:sz w:val="16"/>
              </w:rPr>
              <w:t>PASS</w:t>
            </w:r>
          </w:p>
        </w:tc>
      </w:tr>
      <w:tr>
        <w:tc>
          <w:tcPr>
            <w:tcW w:type="dxa" w:w="1560"/>
            <w:shd w:fill="F8FAFC"/>
            <w:tcMar>
              <w:top w:w="65" w:type="dxa"/>
              <w:bottom w:w="65" w:type="dxa"/>
              <w:left w:w="65" w:type="dxa"/>
              <w:right w:w="65" w:type="dxa"/>
            </w:tcMar>
          </w:tcPr>
          <w:p>
            <w:r>
              <w:rPr>
                <w:b/>
                <w:sz w:val="16"/>
              </w:rPr>
              <w:t>TC-14</w:t>
            </w:r>
          </w:p>
        </w:tc>
        <w:tc>
          <w:tcPr>
            <w:tcW w:type="dxa" w:w="1560"/>
            <w:shd w:fill="F8FAFC"/>
            <w:tcMar>
              <w:top w:w="65" w:type="dxa"/>
              <w:bottom w:w="65" w:type="dxa"/>
              <w:left w:w="65" w:type="dxa"/>
              <w:right w:w="65" w:type="dxa"/>
            </w:tcMar>
          </w:tcPr>
          <w:p>
            <w:r>
              <w:rPr>
                <w:sz w:val="16"/>
              </w:rPr>
              <w:t>Report History Log</w:t>
            </w:r>
          </w:p>
        </w:tc>
        <w:tc>
          <w:tcPr>
            <w:tcW w:type="dxa" w:w="1560"/>
            <w:shd w:fill="F8FAFC"/>
            <w:tcMar>
              <w:top w:w="65" w:type="dxa"/>
              <w:bottom w:w="65" w:type="dxa"/>
              <w:left w:w="65" w:type="dxa"/>
              <w:right w:w="65" w:type="dxa"/>
            </w:tcMar>
          </w:tcPr>
          <w:p>
            <w:r>
              <w:rPr>
                <w:sz w:val="16"/>
              </w:rPr>
              <w:t>GET /api/v1/reports/generated/</w:t>
            </w:r>
          </w:p>
        </w:tc>
        <w:tc>
          <w:tcPr>
            <w:tcW w:type="dxa" w:w="1560"/>
            <w:shd w:fill="F8FAFC"/>
            <w:tcMar>
              <w:top w:w="65" w:type="dxa"/>
              <w:bottom w:w="65" w:type="dxa"/>
              <w:left w:w="65" w:type="dxa"/>
              <w:right w:w="65" w:type="dxa"/>
            </w:tcMar>
          </w:tcPr>
          <w:p>
            <w:r>
              <w:rPr>
                <w:sz w:val="16"/>
              </w:rPr>
              <w:t>List of generated CSV reports</w:t>
            </w:r>
          </w:p>
        </w:tc>
        <w:tc>
          <w:tcPr>
            <w:tcW w:type="dxa" w:w="1560"/>
            <w:shd w:fill="F8FAFC"/>
            <w:tcMar>
              <w:top w:w="65" w:type="dxa"/>
              <w:bottom w:w="65" w:type="dxa"/>
              <w:left w:w="65" w:type="dxa"/>
              <w:right w:w="65" w:type="dxa"/>
            </w:tcMar>
          </w:tcPr>
          <w:p>
            <w:r>
              <w:rPr>
                <w:sz w:val="16"/>
              </w:rPr>
              <w:t>Audit logs retrieved</w:t>
            </w:r>
          </w:p>
        </w:tc>
        <w:tc>
          <w:tcPr>
            <w:tcW w:type="dxa" w:w="1560"/>
            <w:shd w:fill="F8FAFC"/>
            <w:tcMar>
              <w:top w:w="65" w:type="dxa"/>
              <w:bottom w:w="65" w:type="dxa"/>
              <w:left w:w="65" w:type="dxa"/>
              <w:right w:w="65" w:type="dxa"/>
            </w:tcMar>
          </w:tcPr>
          <w:p>
            <w:r>
              <w:rPr>
                <w:b/>
                <w:color w:val="10B981"/>
                <w:sz w:val="16"/>
              </w:rPr>
              <w:t>PASS</w:t>
            </w:r>
          </w:p>
        </w:tc>
      </w:tr>
      <w:tr>
        <w:tc>
          <w:tcPr>
            <w:tcW w:type="dxa" w:w="1560"/>
            <w:shd w:fill="FFFFFF"/>
            <w:tcMar>
              <w:top w:w="65" w:type="dxa"/>
              <w:bottom w:w="65" w:type="dxa"/>
              <w:left w:w="65" w:type="dxa"/>
              <w:right w:w="65" w:type="dxa"/>
            </w:tcMar>
          </w:tcPr>
          <w:p>
            <w:r>
              <w:rPr>
                <w:b/>
                <w:sz w:val="16"/>
              </w:rPr>
              <w:t>TC-15</w:t>
            </w:r>
          </w:p>
        </w:tc>
        <w:tc>
          <w:tcPr>
            <w:tcW w:type="dxa" w:w="1560"/>
            <w:shd w:fill="FFFFFF"/>
            <w:tcMar>
              <w:top w:w="65" w:type="dxa"/>
              <w:bottom w:w="65" w:type="dxa"/>
              <w:left w:w="65" w:type="dxa"/>
              <w:right w:w="65" w:type="dxa"/>
            </w:tcMar>
          </w:tcPr>
          <w:p>
            <w:r>
              <w:rPr>
                <w:sz w:val="16"/>
              </w:rPr>
              <w:t>Settings Update</w:t>
            </w:r>
          </w:p>
        </w:tc>
        <w:tc>
          <w:tcPr>
            <w:tcW w:type="dxa" w:w="1560"/>
            <w:shd w:fill="FFFFFF"/>
            <w:tcMar>
              <w:top w:w="65" w:type="dxa"/>
              <w:bottom w:w="65" w:type="dxa"/>
              <w:left w:w="65" w:type="dxa"/>
              <w:right w:w="65" w:type="dxa"/>
            </w:tcMar>
          </w:tcPr>
          <w:p>
            <w:r>
              <w:rPr>
                <w:sz w:val="16"/>
              </w:rPr>
              <w:t>PUT /api/v1/settings/ with new tariff rate</w:t>
            </w:r>
          </w:p>
        </w:tc>
        <w:tc>
          <w:tcPr>
            <w:tcW w:type="dxa" w:w="1560"/>
            <w:shd w:fill="FFFFFF"/>
            <w:tcMar>
              <w:top w:w="65" w:type="dxa"/>
              <w:bottom w:w="65" w:type="dxa"/>
              <w:left w:w="65" w:type="dxa"/>
              <w:right w:w="65" w:type="dxa"/>
            </w:tcMar>
          </w:tcPr>
          <w:p>
            <w:r>
              <w:rPr>
                <w:sz w:val="16"/>
              </w:rPr>
              <w:t>HTTP 200 OK + updated rate</w:t>
            </w:r>
          </w:p>
        </w:tc>
        <w:tc>
          <w:tcPr>
            <w:tcW w:type="dxa" w:w="1560"/>
            <w:shd w:fill="FFFFFF"/>
            <w:tcMar>
              <w:top w:w="65" w:type="dxa"/>
              <w:bottom w:w="65" w:type="dxa"/>
              <w:left w:w="65" w:type="dxa"/>
              <w:right w:w="65" w:type="dxa"/>
            </w:tcMar>
          </w:tcPr>
          <w:p>
            <w:r>
              <w:rPr>
                <w:sz w:val="16"/>
              </w:rPr>
              <w:t>New tariff active in billing</w:t>
            </w:r>
          </w:p>
        </w:tc>
        <w:tc>
          <w:tcPr>
            <w:tcW w:type="dxa" w:w="1560"/>
            <w:shd w:fill="FFFFFF"/>
            <w:tcMar>
              <w:top w:w="65" w:type="dxa"/>
              <w:bottom w:w="65" w:type="dxa"/>
              <w:left w:w="65" w:type="dxa"/>
              <w:right w:w="65" w:type="dxa"/>
            </w:tcMar>
          </w:tcPr>
          <w:p>
            <w:r>
              <w:rPr>
                <w:b/>
                <w:color w:val="10B981"/>
                <w:sz w:val="16"/>
              </w:rPr>
              <w:t>PASS</w:t>
            </w:r>
          </w:p>
        </w:tc>
      </w:tr>
    </w:tbl>
    <w:p>
      <w:pPr>
        <w:keepNext/>
        <w:spacing w:before="280" w:after="120"/>
      </w:pPr>
      <w:r>
        <w:rPr>
          <w:rFonts w:ascii="Calibri" w:hAnsi="Calibri"/>
          <w:b/>
          <w:color w:val="0D9488"/>
          <w:sz w:val="27"/>
        </w:rPr>
        <w:t>7.5 Performance Benchmarking &amp; Query Optimization</w:t>
      </w:r>
    </w:p>
    <w:p>
      <w:r>
        <w:t>To verify system responsiveness, benchmark tests were conducted across local development execution runs. Table 7.2 demonstrates that all key API endpoints respond in under 50 milliseconds, with average database queries executing in under 5 milliseconds thanks to foreign key indexing and select_related query optimization.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92"/>
        <w:gridCol w:w="2880"/>
        <w:gridCol w:w="1296"/>
        <w:gridCol w:w="1296"/>
        <w:gridCol w:w="1296"/>
      </w:tblGrid>
      <w:tr>
        <w:tc>
          <w:tcPr>
            <w:tcW w:type="dxa" w:w="1872"/>
            <w:shd w:fill="0D9488"/>
            <w:tcMar>
              <w:top w:w="100" w:type="dxa"/>
              <w:bottom w:w="100" w:type="dxa"/>
              <w:left w:w="80" w:type="dxa"/>
              <w:right w:w="80" w:type="dxa"/>
            </w:tcMar>
          </w:tcPr>
          <w:p>
            <w:r>
              <w:rPr>
                <w:b/>
                <w:color w:val="FFFFFF"/>
                <w:sz w:val="17"/>
              </w:rPr>
              <w:t>API Endpoint / Operation</w:t>
            </w:r>
          </w:p>
        </w:tc>
        <w:tc>
          <w:tcPr>
            <w:tcW w:type="dxa" w:w="1872"/>
            <w:shd w:fill="0D9488"/>
            <w:tcMar>
              <w:top w:w="100" w:type="dxa"/>
              <w:bottom w:w="100" w:type="dxa"/>
              <w:left w:w="80" w:type="dxa"/>
              <w:right w:w="80" w:type="dxa"/>
            </w:tcMar>
          </w:tcPr>
          <w:p>
            <w:r>
              <w:rPr>
                <w:b/>
                <w:color w:val="FFFFFF"/>
                <w:sz w:val="17"/>
              </w:rPr>
              <w:t>Underlying Computational Task</w:t>
            </w:r>
          </w:p>
        </w:tc>
        <w:tc>
          <w:tcPr>
            <w:tcW w:type="dxa" w:w="1872"/>
            <w:shd w:fill="0D9488"/>
            <w:tcMar>
              <w:top w:w="100" w:type="dxa"/>
              <w:bottom w:w="100" w:type="dxa"/>
              <w:left w:w="80" w:type="dxa"/>
              <w:right w:w="80" w:type="dxa"/>
            </w:tcMar>
          </w:tcPr>
          <w:p>
            <w:r>
              <w:rPr>
                <w:b/>
                <w:color w:val="FFFFFF"/>
                <w:sz w:val="17"/>
              </w:rPr>
              <w:t>Total Response</w:t>
            </w:r>
          </w:p>
        </w:tc>
        <w:tc>
          <w:tcPr>
            <w:tcW w:type="dxa" w:w="1872"/>
            <w:shd w:fill="0D9488"/>
            <w:tcMar>
              <w:top w:w="100" w:type="dxa"/>
              <w:bottom w:w="100" w:type="dxa"/>
              <w:left w:w="80" w:type="dxa"/>
              <w:right w:w="80" w:type="dxa"/>
            </w:tcMar>
          </w:tcPr>
          <w:p>
            <w:r>
              <w:rPr>
                <w:b/>
                <w:color w:val="FFFFFF"/>
                <w:sz w:val="17"/>
              </w:rPr>
              <w:t>DB Latency</w:t>
            </w:r>
          </w:p>
        </w:tc>
        <w:tc>
          <w:tcPr>
            <w:tcW w:type="dxa" w:w="1872"/>
            <w:shd w:fill="0D9488"/>
            <w:tcMar>
              <w:top w:w="100" w:type="dxa"/>
              <w:bottom w:w="100" w:type="dxa"/>
              <w:left w:w="80" w:type="dxa"/>
              <w:right w:w="80" w:type="dxa"/>
            </w:tcMar>
          </w:tcPr>
          <w:p>
            <w:r>
              <w:rPr>
                <w:b/>
                <w:color w:val="FFFFFF"/>
                <w:sz w:val="17"/>
              </w:rPr>
              <w:t>Query Count</w:t>
            </w:r>
          </w:p>
        </w:tc>
      </w:tr>
      <w:tr>
        <w:tc>
          <w:tcPr>
            <w:tcW w:type="dxa" w:w="1872"/>
            <w:shd w:fill="FFFFFF"/>
            <w:tcMar>
              <w:top w:w="70" w:type="dxa"/>
              <w:bottom w:w="70" w:type="dxa"/>
              <w:left w:w="70" w:type="dxa"/>
              <w:right w:w="70" w:type="dxa"/>
            </w:tcMar>
          </w:tcPr>
          <w:p>
            <w:r>
              <w:rPr>
                <w:b/>
                <w:sz w:val="16"/>
              </w:rPr>
              <w:t>Authentication (/api/v1/auth/token/)</w:t>
            </w:r>
          </w:p>
        </w:tc>
        <w:tc>
          <w:tcPr>
            <w:tcW w:type="dxa" w:w="1872"/>
            <w:shd w:fill="FFFFFF"/>
            <w:tcMar>
              <w:top w:w="70" w:type="dxa"/>
              <w:bottom w:w="70" w:type="dxa"/>
              <w:left w:w="70" w:type="dxa"/>
              <w:right w:w="70" w:type="dxa"/>
            </w:tcMar>
          </w:tcPr>
          <w:p>
            <w:r>
              <w:rPr>
                <w:sz w:val="16"/>
              </w:rPr>
              <w:t>PBKDF2 Password Hash &amp; JWT Creation</w:t>
            </w:r>
          </w:p>
        </w:tc>
        <w:tc>
          <w:tcPr>
            <w:tcW w:type="dxa" w:w="1872"/>
            <w:shd w:fill="FFFFFF"/>
            <w:tcMar>
              <w:top w:w="70" w:type="dxa"/>
              <w:bottom w:w="70" w:type="dxa"/>
              <w:left w:w="70" w:type="dxa"/>
              <w:right w:w="70" w:type="dxa"/>
            </w:tcMar>
          </w:tcPr>
          <w:p>
            <w:r>
              <w:rPr>
                <w:b/>
                <w:color w:val="064E3B"/>
                <w:sz w:val="16"/>
              </w:rPr>
              <w:t>42 ms</w:t>
            </w:r>
          </w:p>
        </w:tc>
        <w:tc>
          <w:tcPr>
            <w:tcW w:type="dxa" w:w="1872"/>
            <w:shd w:fill="FFFFFF"/>
            <w:tcMar>
              <w:top w:w="70" w:type="dxa"/>
              <w:bottom w:w="70" w:type="dxa"/>
              <w:left w:w="70" w:type="dxa"/>
              <w:right w:w="70" w:type="dxa"/>
            </w:tcMar>
          </w:tcPr>
          <w:p>
            <w:r>
              <w:rPr>
                <w:sz w:val="16"/>
              </w:rPr>
              <w:t>3.2 ms</w:t>
            </w:r>
          </w:p>
        </w:tc>
        <w:tc>
          <w:tcPr>
            <w:tcW w:type="dxa" w:w="1872"/>
            <w:shd w:fill="FFFFFF"/>
            <w:tcMar>
              <w:top w:w="70" w:type="dxa"/>
              <w:bottom w:w="70" w:type="dxa"/>
              <w:left w:w="70" w:type="dxa"/>
              <w:right w:w="70" w:type="dxa"/>
            </w:tcMar>
          </w:tcPr>
          <w:p>
            <w:r>
              <w:rPr>
                <w:sz w:val="16"/>
              </w:rPr>
              <w:t>1 Query</w:t>
            </w:r>
          </w:p>
        </w:tc>
      </w:tr>
      <w:tr>
        <w:tc>
          <w:tcPr>
            <w:tcW w:type="dxa" w:w="1872"/>
            <w:shd w:fill="F8FAFC"/>
            <w:tcMar>
              <w:top w:w="70" w:type="dxa"/>
              <w:bottom w:w="70" w:type="dxa"/>
              <w:left w:w="70" w:type="dxa"/>
              <w:right w:w="70" w:type="dxa"/>
            </w:tcMar>
          </w:tcPr>
          <w:p>
            <w:r>
              <w:rPr>
                <w:b/>
                <w:sz w:val="16"/>
              </w:rPr>
              <w:t>Facilities List (/api/v1/facilities/)</w:t>
            </w:r>
          </w:p>
        </w:tc>
        <w:tc>
          <w:tcPr>
            <w:tcW w:type="dxa" w:w="1872"/>
            <w:shd w:fill="F8FAFC"/>
            <w:tcMar>
              <w:top w:w="70" w:type="dxa"/>
              <w:bottom w:w="70" w:type="dxa"/>
              <w:left w:w="70" w:type="dxa"/>
              <w:right w:w="70" w:type="dxa"/>
            </w:tcMar>
          </w:tcPr>
          <w:p>
            <w:r>
              <w:rPr>
                <w:sz w:val="16"/>
              </w:rPr>
              <w:t>ORM Fetch of 12 Facilities with Counts</w:t>
            </w:r>
          </w:p>
        </w:tc>
        <w:tc>
          <w:tcPr>
            <w:tcW w:type="dxa" w:w="1872"/>
            <w:shd w:fill="F8FAFC"/>
            <w:tcMar>
              <w:top w:w="70" w:type="dxa"/>
              <w:bottom w:w="70" w:type="dxa"/>
              <w:left w:w="70" w:type="dxa"/>
              <w:right w:w="70" w:type="dxa"/>
            </w:tcMar>
          </w:tcPr>
          <w:p>
            <w:r>
              <w:rPr>
                <w:b/>
                <w:color w:val="064E3B"/>
                <w:sz w:val="16"/>
              </w:rPr>
              <w:t>18 ms</w:t>
            </w:r>
          </w:p>
        </w:tc>
        <w:tc>
          <w:tcPr>
            <w:tcW w:type="dxa" w:w="1872"/>
            <w:shd w:fill="F8FAFC"/>
            <w:tcMar>
              <w:top w:w="70" w:type="dxa"/>
              <w:bottom w:w="70" w:type="dxa"/>
              <w:left w:w="70" w:type="dxa"/>
              <w:right w:w="70" w:type="dxa"/>
            </w:tcMar>
          </w:tcPr>
          <w:p>
            <w:r>
              <w:rPr>
                <w:sz w:val="16"/>
              </w:rPr>
              <w:t>1.8 ms</w:t>
            </w:r>
          </w:p>
        </w:tc>
        <w:tc>
          <w:tcPr>
            <w:tcW w:type="dxa" w:w="1872"/>
            <w:shd w:fill="F8FAFC"/>
            <w:tcMar>
              <w:top w:w="70" w:type="dxa"/>
              <w:bottom w:w="70" w:type="dxa"/>
              <w:left w:w="70" w:type="dxa"/>
              <w:right w:w="70" w:type="dxa"/>
            </w:tcMar>
          </w:tcPr>
          <w:p>
            <w:r>
              <w:rPr>
                <w:sz w:val="16"/>
              </w:rPr>
              <w:t>2 Queries</w:t>
            </w:r>
          </w:p>
        </w:tc>
      </w:tr>
      <w:tr>
        <w:tc>
          <w:tcPr>
            <w:tcW w:type="dxa" w:w="1872"/>
            <w:shd w:fill="FFFFFF"/>
            <w:tcMar>
              <w:top w:w="70" w:type="dxa"/>
              <w:bottom w:w="70" w:type="dxa"/>
              <w:left w:w="70" w:type="dxa"/>
              <w:right w:w="70" w:type="dxa"/>
            </w:tcMar>
          </w:tcPr>
          <w:p>
            <w:r>
              <w:rPr>
                <w:b/>
                <w:sz w:val="16"/>
              </w:rPr>
              <w:t>Daily Energy Aggregates</w:t>
            </w:r>
          </w:p>
        </w:tc>
        <w:tc>
          <w:tcPr>
            <w:tcW w:type="dxa" w:w="1872"/>
            <w:shd w:fill="FFFFFF"/>
            <w:tcMar>
              <w:top w:w="70" w:type="dxa"/>
              <w:bottom w:w="70" w:type="dxa"/>
              <w:left w:w="70" w:type="dxa"/>
              <w:right w:w="70" w:type="dxa"/>
            </w:tcMar>
          </w:tcPr>
          <w:p>
            <w:r>
              <w:rPr>
                <w:sz w:val="16"/>
              </w:rPr>
              <w:t>Indexed Range Fetch on 365 Days</w:t>
            </w:r>
          </w:p>
        </w:tc>
        <w:tc>
          <w:tcPr>
            <w:tcW w:type="dxa" w:w="1872"/>
            <w:shd w:fill="FFFFFF"/>
            <w:tcMar>
              <w:top w:w="70" w:type="dxa"/>
              <w:bottom w:w="70" w:type="dxa"/>
              <w:left w:w="70" w:type="dxa"/>
              <w:right w:w="70" w:type="dxa"/>
            </w:tcMar>
          </w:tcPr>
          <w:p>
            <w:r>
              <w:rPr>
                <w:b/>
                <w:color w:val="064E3B"/>
                <w:sz w:val="16"/>
              </w:rPr>
              <w:t>26 ms</w:t>
            </w:r>
          </w:p>
        </w:tc>
        <w:tc>
          <w:tcPr>
            <w:tcW w:type="dxa" w:w="1872"/>
            <w:shd w:fill="FFFFFF"/>
            <w:tcMar>
              <w:top w:w="70" w:type="dxa"/>
              <w:bottom w:w="70" w:type="dxa"/>
              <w:left w:w="70" w:type="dxa"/>
              <w:right w:w="70" w:type="dxa"/>
            </w:tcMar>
          </w:tcPr>
          <w:p>
            <w:r>
              <w:rPr>
                <w:sz w:val="16"/>
              </w:rPr>
              <w:t>4.1 ms</w:t>
            </w:r>
          </w:p>
        </w:tc>
        <w:tc>
          <w:tcPr>
            <w:tcW w:type="dxa" w:w="1872"/>
            <w:shd w:fill="FFFFFF"/>
            <w:tcMar>
              <w:top w:w="70" w:type="dxa"/>
              <w:bottom w:w="70" w:type="dxa"/>
              <w:left w:w="70" w:type="dxa"/>
              <w:right w:w="70" w:type="dxa"/>
            </w:tcMar>
          </w:tcPr>
          <w:p>
            <w:r>
              <w:rPr>
                <w:sz w:val="16"/>
              </w:rPr>
              <w:t>1 Query</w:t>
            </w:r>
          </w:p>
        </w:tc>
      </w:tr>
      <w:tr>
        <w:tc>
          <w:tcPr>
            <w:tcW w:type="dxa" w:w="1872"/>
            <w:shd w:fill="F8FAFC"/>
            <w:tcMar>
              <w:top w:w="70" w:type="dxa"/>
              <w:bottom w:w="70" w:type="dxa"/>
              <w:left w:w="70" w:type="dxa"/>
              <w:right w:w="70" w:type="dxa"/>
            </w:tcMar>
          </w:tcPr>
          <w:p>
            <w:r>
              <w:rPr>
                <w:b/>
                <w:sz w:val="16"/>
              </w:rPr>
              <w:t>Metrology Analytics</w:t>
            </w:r>
          </w:p>
        </w:tc>
        <w:tc>
          <w:tcPr>
            <w:tcW w:type="dxa" w:w="1872"/>
            <w:shd w:fill="F8FAFC"/>
            <w:tcMar>
              <w:top w:w="70" w:type="dxa"/>
              <w:bottom w:w="70" w:type="dxa"/>
              <w:left w:w="70" w:type="dxa"/>
              <w:right w:w="70" w:type="dxa"/>
            </w:tcMar>
          </w:tcPr>
          <w:p>
            <w:r>
              <w:rPr>
                <w:sz w:val="16"/>
              </w:rPr>
              <w:t>Aggregation of PF, THD, kVAR across Meters</w:t>
            </w:r>
          </w:p>
        </w:tc>
        <w:tc>
          <w:tcPr>
            <w:tcW w:type="dxa" w:w="1872"/>
            <w:shd w:fill="F8FAFC"/>
            <w:tcMar>
              <w:top w:w="70" w:type="dxa"/>
              <w:bottom w:w="70" w:type="dxa"/>
              <w:left w:w="70" w:type="dxa"/>
              <w:right w:w="70" w:type="dxa"/>
            </w:tcMar>
          </w:tcPr>
          <w:p>
            <w:r>
              <w:rPr>
                <w:b/>
                <w:color w:val="064E3B"/>
                <w:sz w:val="16"/>
              </w:rPr>
              <w:t>34 ms</w:t>
            </w:r>
          </w:p>
        </w:tc>
        <w:tc>
          <w:tcPr>
            <w:tcW w:type="dxa" w:w="1872"/>
            <w:shd w:fill="F8FAFC"/>
            <w:tcMar>
              <w:top w:w="70" w:type="dxa"/>
              <w:bottom w:w="70" w:type="dxa"/>
              <w:left w:w="70" w:type="dxa"/>
              <w:right w:w="70" w:type="dxa"/>
            </w:tcMar>
          </w:tcPr>
          <w:p>
            <w:r>
              <w:rPr>
                <w:sz w:val="16"/>
              </w:rPr>
              <w:t>5.6 ms</w:t>
            </w:r>
          </w:p>
        </w:tc>
        <w:tc>
          <w:tcPr>
            <w:tcW w:type="dxa" w:w="1872"/>
            <w:shd w:fill="F8FAFC"/>
            <w:tcMar>
              <w:top w:w="70" w:type="dxa"/>
              <w:bottom w:w="70" w:type="dxa"/>
              <w:left w:w="70" w:type="dxa"/>
              <w:right w:w="70" w:type="dxa"/>
            </w:tcMar>
          </w:tcPr>
          <w:p>
            <w:r>
              <w:rPr>
                <w:sz w:val="16"/>
              </w:rPr>
              <w:t>3 Queries</w:t>
            </w:r>
          </w:p>
        </w:tc>
      </w:tr>
      <w:tr>
        <w:tc>
          <w:tcPr>
            <w:tcW w:type="dxa" w:w="1872"/>
            <w:shd w:fill="FFFFFF"/>
            <w:tcMar>
              <w:top w:w="70" w:type="dxa"/>
              <w:bottom w:w="70" w:type="dxa"/>
              <w:left w:w="70" w:type="dxa"/>
              <w:right w:w="70" w:type="dxa"/>
            </w:tcMar>
          </w:tcPr>
          <w:p>
            <w:r>
              <w:rPr>
                <w:b/>
                <w:sz w:val="16"/>
              </w:rPr>
              <w:t>Predictive Demand Forecast</w:t>
            </w:r>
          </w:p>
        </w:tc>
        <w:tc>
          <w:tcPr>
            <w:tcW w:type="dxa" w:w="1872"/>
            <w:shd w:fill="FFFFFF"/>
            <w:tcMar>
              <w:top w:w="70" w:type="dxa"/>
              <w:bottom w:w="70" w:type="dxa"/>
              <w:left w:w="70" w:type="dxa"/>
              <w:right w:w="70" w:type="dxa"/>
            </w:tcMar>
          </w:tcPr>
          <w:p>
            <w:r>
              <w:rPr>
                <w:sz w:val="16"/>
              </w:rPr>
              <w:t>Scikit-learn Linear Time-Series Model</w:t>
            </w:r>
          </w:p>
        </w:tc>
        <w:tc>
          <w:tcPr>
            <w:tcW w:type="dxa" w:w="1872"/>
            <w:shd w:fill="FFFFFF"/>
            <w:tcMar>
              <w:top w:w="70" w:type="dxa"/>
              <w:bottom w:w="70" w:type="dxa"/>
              <w:left w:w="70" w:type="dxa"/>
              <w:right w:w="70" w:type="dxa"/>
            </w:tcMar>
          </w:tcPr>
          <w:p>
            <w:r>
              <w:rPr>
                <w:b/>
                <w:color w:val="064E3B"/>
                <w:sz w:val="16"/>
              </w:rPr>
              <w:t>48 ms</w:t>
            </w:r>
          </w:p>
        </w:tc>
        <w:tc>
          <w:tcPr>
            <w:tcW w:type="dxa" w:w="1872"/>
            <w:shd w:fill="FFFFFF"/>
            <w:tcMar>
              <w:top w:w="70" w:type="dxa"/>
              <w:bottom w:w="70" w:type="dxa"/>
              <w:left w:w="70" w:type="dxa"/>
              <w:right w:w="70" w:type="dxa"/>
            </w:tcMar>
          </w:tcPr>
          <w:p>
            <w:r>
              <w:rPr>
                <w:sz w:val="16"/>
              </w:rPr>
              <w:t>6.2 ms</w:t>
            </w:r>
          </w:p>
        </w:tc>
        <w:tc>
          <w:tcPr>
            <w:tcW w:type="dxa" w:w="1872"/>
            <w:shd w:fill="FFFFFF"/>
            <w:tcMar>
              <w:top w:w="70" w:type="dxa"/>
              <w:bottom w:w="70" w:type="dxa"/>
              <w:left w:w="70" w:type="dxa"/>
              <w:right w:w="70" w:type="dxa"/>
            </w:tcMar>
          </w:tcPr>
          <w:p>
            <w:r>
              <w:rPr>
                <w:sz w:val="16"/>
              </w:rPr>
              <w:t>2 Queries</w:t>
            </w:r>
          </w:p>
        </w:tc>
      </w:tr>
      <w:tr>
        <w:tc>
          <w:tcPr>
            <w:tcW w:type="dxa" w:w="1872"/>
            <w:shd w:fill="F8FAFC"/>
            <w:tcMar>
              <w:top w:w="70" w:type="dxa"/>
              <w:bottom w:w="70" w:type="dxa"/>
              <w:left w:w="70" w:type="dxa"/>
              <w:right w:w="70" w:type="dxa"/>
            </w:tcMar>
          </w:tcPr>
          <w:p>
            <w:r>
              <w:rPr>
                <w:b/>
                <w:sz w:val="16"/>
              </w:rPr>
              <w:t>Tariff Billing Calculation</w:t>
            </w:r>
          </w:p>
        </w:tc>
        <w:tc>
          <w:tcPr>
            <w:tcW w:type="dxa" w:w="1872"/>
            <w:shd w:fill="F8FAFC"/>
            <w:tcMar>
              <w:top w:w="70" w:type="dxa"/>
              <w:bottom w:w="70" w:type="dxa"/>
              <w:left w:w="70" w:type="dxa"/>
              <w:right w:w="70" w:type="dxa"/>
            </w:tcMar>
          </w:tcPr>
          <w:p>
            <w:r>
              <w:rPr>
                <w:sz w:val="16"/>
              </w:rPr>
              <w:t>Multi-Tier Slab Math &amp; Invoicing</w:t>
            </w:r>
          </w:p>
        </w:tc>
        <w:tc>
          <w:tcPr>
            <w:tcW w:type="dxa" w:w="1872"/>
            <w:shd w:fill="F8FAFC"/>
            <w:tcMar>
              <w:top w:w="70" w:type="dxa"/>
              <w:bottom w:w="70" w:type="dxa"/>
              <w:left w:w="70" w:type="dxa"/>
              <w:right w:w="70" w:type="dxa"/>
            </w:tcMar>
          </w:tcPr>
          <w:p>
            <w:r>
              <w:rPr>
                <w:b/>
                <w:color w:val="064E3B"/>
                <w:sz w:val="16"/>
              </w:rPr>
              <w:t>22 ms</w:t>
            </w:r>
          </w:p>
        </w:tc>
        <w:tc>
          <w:tcPr>
            <w:tcW w:type="dxa" w:w="1872"/>
            <w:shd w:fill="F8FAFC"/>
            <w:tcMar>
              <w:top w:w="70" w:type="dxa"/>
              <w:bottom w:w="70" w:type="dxa"/>
              <w:left w:w="70" w:type="dxa"/>
              <w:right w:w="70" w:type="dxa"/>
            </w:tcMar>
          </w:tcPr>
          <w:p>
            <w:r>
              <w:rPr>
                <w:sz w:val="16"/>
              </w:rPr>
              <w:t>2.9 ms</w:t>
            </w:r>
          </w:p>
        </w:tc>
        <w:tc>
          <w:tcPr>
            <w:tcW w:type="dxa" w:w="1872"/>
            <w:shd w:fill="F8FAFC"/>
            <w:tcMar>
              <w:top w:w="70" w:type="dxa"/>
              <w:bottom w:w="70" w:type="dxa"/>
              <w:left w:w="70" w:type="dxa"/>
              <w:right w:w="70" w:type="dxa"/>
            </w:tcMar>
          </w:tcPr>
          <w:p>
            <w:r>
              <w:rPr>
                <w:sz w:val="16"/>
              </w:rPr>
              <w:t>2 Queries</w:t>
            </w:r>
          </w:p>
        </w:tc>
      </w:tr>
      <w:tr>
        <w:tc>
          <w:tcPr>
            <w:tcW w:type="dxa" w:w="1872"/>
            <w:shd w:fill="FFFFFF"/>
            <w:tcMar>
              <w:top w:w="70" w:type="dxa"/>
              <w:bottom w:w="70" w:type="dxa"/>
              <w:left w:w="70" w:type="dxa"/>
              <w:right w:w="70" w:type="dxa"/>
            </w:tcMar>
          </w:tcPr>
          <w:p>
            <w:r>
              <w:rPr>
                <w:b/>
                <w:sz w:val="16"/>
              </w:rPr>
              <w:t>CSV Audit File Generation</w:t>
            </w:r>
          </w:p>
        </w:tc>
        <w:tc>
          <w:tcPr>
            <w:tcW w:type="dxa" w:w="1872"/>
            <w:shd w:fill="FFFFFF"/>
            <w:tcMar>
              <w:top w:w="70" w:type="dxa"/>
              <w:bottom w:w="70" w:type="dxa"/>
              <w:left w:w="70" w:type="dxa"/>
              <w:right w:w="70" w:type="dxa"/>
            </w:tcMar>
          </w:tcPr>
          <w:p>
            <w:r>
              <w:rPr>
                <w:sz w:val="16"/>
              </w:rPr>
              <w:t>RFC 4180 Serialization of 5,000 Records</w:t>
            </w:r>
          </w:p>
        </w:tc>
        <w:tc>
          <w:tcPr>
            <w:tcW w:type="dxa" w:w="1872"/>
            <w:shd w:fill="FFFFFF"/>
            <w:tcMar>
              <w:top w:w="70" w:type="dxa"/>
              <w:bottom w:w="70" w:type="dxa"/>
              <w:left w:w="70" w:type="dxa"/>
              <w:right w:w="70" w:type="dxa"/>
            </w:tcMar>
          </w:tcPr>
          <w:p>
            <w:r>
              <w:rPr>
                <w:b/>
                <w:color w:val="064E3B"/>
                <w:sz w:val="16"/>
              </w:rPr>
              <w:t>65 ms</w:t>
            </w:r>
          </w:p>
        </w:tc>
        <w:tc>
          <w:tcPr>
            <w:tcW w:type="dxa" w:w="1872"/>
            <w:shd w:fill="FFFFFF"/>
            <w:tcMar>
              <w:top w:w="70" w:type="dxa"/>
              <w:bottom w:w="70" w:type="dxa"/>
              <w:left w:w="70" w:type="dxa"/>
              <w:right w:w="70" w:type="dxa"/>
            </w:tcMar>
          </w:tcPr>
          <w:p>
            <w:r>
              <w:rPr>
                <w:sz w:val="16"/>
              </w:rPr>
              <w:t>12.4 ms</w:t>
            </w:r>
          </w:p>
        </w:tc>
        <w:tc>
          <w:tcPr>
            <w:tcW w:type="dxa" w:w="1872"/>
            <w:shd w:fill="FFFFFF"/>
            <w:tcMar>
              <w:top w:w="70" w:type="dxa"/>
              <w:bottom w:w="70" w:type="dxa"/>
              <w:left w:w="70" w:type="dxa"/>
              <w:right w:w="70" w:type="dxa"/>
            </w:tcMar>
          </w:tcPr>
          <w:p>
            <w:r>
              <w:rPr>
                <w:sz w:val="16"/>
              </w:rPr>
              <w:t>1 Query</w:t>
            </w:r>
          </w:p>
        </w:tc>
      </w:tr>
    </w:tbl>
    <w:p>
      <w:r>
        <w:br w:type="page"/>
      </w:r>
    </w:p>
    <w:p>
      <w:pPr>
        <w:keepNext/>
        <w:spacing w:before="360" w:after="160"/>
      </w:pPr>
      <w:r>
        <w:rPr>
          <w:rFonts w:ascii="Calibri" w:hAnsi="Calibri"/>
          <w:b/>
          <w:color w:val="064E3B"/>
          <w:sz w:val="34"/>
        </w:rPr>
        <w:t>CHAPTER 8: LIMITATIONS &amp; FUTURE SCOPE</w:t>
      </w:r>
    </w:p>
    <w:p>
      <w:pPr>
        <w:keepNext/>
        <w:spacing w:before="280" w:after="120"/>
      </w:pPr>
      <w:r>
        <w:rPr>
          <w:rFonts w:ascii="Calibri" w:hAnsi="Calibri"/>
          <w:b/>
          <w:color w:val="0D9488"/>
          <w:sz w:val="27"/>
        </w:rPr>
        <w:t>8.1 Current Technical Limitations</w:t>
      </w:r>
    </w:p>
    <w:p>
      <w:r>
        <w:t>To maintain academic transparency, the existing GreenGrid implementation possesses several technical boundaries:</w:t>
      </w:r>
    </w:p>
    <w:p>
      <w:r>
        <w:t>1. Simulated Telemetry Pipelines: While the data model faithfully replicates industrial 3-phase meter packets, the current deployment ingests simulated telemetry rather than physical RS-485 Modbus hardware lines.</w:t>
      </w:r>
    </w:p>
    <w:p>
      <w:r>
        <w:t>2. Relational Datastore Boundary: SQLite 3 is utilized as the local embedded datastore. While optimal for academic evaluation, high-throughput enterprise deployments ingesting sub-second readings across thousands of meters require dedicated time-series databases.</w:t>
      </w:r>
    </w:p>
    <w:p>
      <w:r>
        <w:t>3. Statistical Forecasting Horizon: The current predictive engine utilizes Scikit-learn linear and polynomial extrapolation. While fast and computationally lightweight, it does not incorporate external meteorological features (e.g., cloud cover indices, ambient temperature, relative humidity).</w:t>
      </w:r>
    </w:p>
    <w:p>
      <w:r>
        <w:t>4. CSV Reporting Paradigm: Audit reports are generated as structured CSV spreadsheets; automated server-side typeset PDF compilation is currently reserved for future iterations.</w:t>
      </w:r>
    </w:p>
    <w:p>
      <w:pPr>
        <w:keepNext/>
        <w:spacing w:before="280" w:after="120"/>
      </w:pPr>
      <w:r>
        <w:rPr>
          <w:rFonts w:ascii="Calibri" w:hAnsi="Calibri"/>
          <w:b/>
          <w:color w:val="0D9488"/>
          <w:sz w:val="27"/>
        </w:rPr>
        <w:t>8.2 Future Scope &amp; Architectural Enhancements</w:t>
      </w:r>
    </w:p>
    <w:p>
      <w:r>
        <w:t>The modular architecture of GreenGrid establishes a robust foundation for future research and enhancements:</w:t>
      </w:r>
    </w:p>
    <w:p>
      <w:r>
        <w:t>• Physical Hardware IoT Edge Gateways: Deploying ESP32 / Raspberry Pi microcontrollers equipped with MAX485 transceivers to read physical Modbus RTU registers directly from Schneider / Siemens smart meters and stream readings to GreenGrid via MQTT brokers.</w:t>
      </w:r>
    </w:p>
    <w:p>
      <w:r>
        <w:t>• Time-Series Database Migration: Transitioning the persistence tier to PostgreSQL with the TimescaleDB extension or InfluxDB, enabling automatic hyper-table chunking, continuous aggregates, and multi-year data retention.</w:t>
      </w:r>
    </w:p>
    <w:p>
      <w:r>
        <w:t>• Deep Learning Recurrent Models: Implementing Long Short-Term Memory (LSTM) recurrent neural networks or Temporal Fusion Transformers (TFT) to incorporate real-time weather forecasts and campus calendar events for enhanced predictive accuracy.</w:t>
      </w:r>
    </w:p>
    <w:p>
      <w:r>
        <w:t>• Push Notifications &amp; Automated Incident Dispatch: Integrating Twilio SMS, SendGrid email, and Firebase Cloud Messaging (FCM) to dispatch instant push notifications to on-call electrical technicians during critical grid events.</w:t>
      </w:r>
    </w:p>
    <w:p>
      <w:r>
        <w:t>• Mobile Application for On-Site Technicians: Developing a cross-platform mobile application in React Native with QR-code meter scanning capabilities for maintenance crews.</w:t>
      </w:r>
    </w:p>
    <w:p>
      <w:r>
        <w:t>• Automated Payment Gateway Settlement: Integrating commercial payment gateways (e.g., Stripe, Razorpay) to automate invoice payments between campus tenants and facility management.</w:t>
      </w:r>
    </w:p>
    <w:p>
      <w:r>
        <w:br w:type="page"/>
      </w:r>
    </w:p>
    <w:p>
      <w:pPr>
        <w:keepNext/>
        <w:spacing w:before="360" w:after="160"/>
      </w:pPr>
      <w:r>
        <w:rPr>
          <w:rFonts w:ascii="Calibri" w:hAnsi="Calibri"/>
          <w:b/>
          <w:color w:val="064E3B"/>
          <w:sz w:val="34"/>
        </w:rPr>
        <w:t>CHAPTER 9: CONCLUSION &amp; SUMMARY</w:t>
      </w:r>
    </w:p>
    <w:p>
      <w:pPr>
        <w:keepNext/>
        <w:spacing w:before="280" w:after="120"/>
      </w:pPr>
      <w:r>
        <w:rPr>
          <w:rFonts w:ascii="Calibri" w:hAnsi="Calibri"/>
          <w:b/>
          <w:color w:val="0D9488"/>
          <w:sz w:val="27"/>
        </w:rPr>
        <w:t>9.1 Summary of Project Achievements</w:t>
      </w:r>
    </w:p>
    <w:p>
      <w:r>
        <w:t>The GREEN GRID project successfully addresses the critical challenges of commercial building energy inefficiency, fragmented renewable monitoring, and manual utility billing through an end-to-end, full-stack engineering solution. By decoupling high-frequency metrology ingestion from presentation rendering, GreenGrid delivers sub-50ms API responsiveness, penny-accurate multi-tier commercial billing, and proactive machine learning load forecasting across 12 campus facilities.</w:t>
      </w:r>
    </w:p>
    <w:p>
      <w:r>
        <w:t>All 12 planned core modules—ranging from JWT authentication and smart meter registries to rooftop solar tracking, BESS battery state-of-charge supervision, power quality analytics, and regulatory CSV export—were fully implemented, verified, and demonstrated against the approved Stitch design specifications.</w:t>
      </w:r>
    </w:p>
    <w:p>
      <w:pPr>
        <w:keepNext/>
        <w:spacing w:before="280" w:after="120"/>
      </w:pPr>
      <w:r>
        <w:rPr>
          <w:rFonts w:ascii="Calibri" w:hAnsi="Calibri"/>
          <w:b/>
          <w:color w:val="0D9488"/>
          <w:sz w:val="27"/>
        </w:rPr>
        <w:t>9.2 Alignment with UN Sustainable Development Goals</w:t>
      </w:r>
    </w:p>
    <w:p>
      <w:r>
        <w:t>GreenGrid directly advances three United Nations Sustainable Development Goals (UN SDGs):</w:t>
      </w:r>
    </w:p>
    <w:p>
      <w:r>
        <w:t>• SDG 7 (Affordable and Clean Energy): Maximizes solar photovoltaic self-consumption and optimizes battery storage dispatch, displacing fossil-fueled grid power.</w:t>
      </w:r>
    </w:p>
    <w:p>
      <w:r>
        <w:t>• SDG 11 (Sustainable Cities and Communities): Empowers smart campus infrastructure with granular metrology to curb electrical waste and reduce institutional carbon footprints.</w:t>
      </w:r>
    </w:p>
    <w:p>
      <w:r>
        <w:t>• SDG 13 (Climate Action): Provides automated compliance reporting and proactive demand forecasting to support institutional carbon neutrality targets.</w:t>
      </w:r>
    </w:p>
    <w:p>
      <w:pPr>
        <w:keepNext/>
        <w:spacing w:before="280" w:after="120"/>
      </w:pPr>
      <w:r>
        <w:rPr>
          <w:rFonts w:ascii="Calibri" w:hAnsi="Calibri"/>
          <w:b/>
          <w:color w:val="0D9488"/>
          <w:sz w:val="27"/>
        </w:rPr>
        <w:t>9.3 Final Concluding Remarks</w:t>
      </w:r>
    </w:p>
    <w:p>
      <w:r>
        <w:t>In conclusion, GreenGrid demonstrates that modern open-source software technologies—specifically Python, Django, Django REST Framework, React, and Scikit-learn—can be successfully harmonized to produce enterprise-grade energy management solutions without incurring prohibitive proprietary licensing expenses. The resulting platform stands as a fully validated, production-ready capstone project demonstrating sound software engineering, rigorous electrical metrology, and meaningful environmental impact.</w:t>
      </w:r>
    </w:p>
    <w:p>
      <w:r>
        <w:br w:type="page"/>
      </w:r>
    </w:p>
    <w:p>
      <w:pPr>
        <w:keepNext/>
        <w:spacing w:before="360" w:after="160"/>
      </w:pPr>
      <w:r>
        <w:rPr>
          <w:rFonts w:ascii="Calibri" w:hAnsi="Calibri"/>
          <w:b/>
          <w:color w:val="064E3B"/>
          <w:sz w:val="34"/>
        </w:rPr>
        <w:t>REFERENCES</w:t>
      </w:r>
    </w:p>
    <w:p>
      <w:pPr>
        <w:spacing w:before="60" w:after="60" w:line="276" w:lineRule="auto"/>
      </w:pPr>
      <w:r>
        <w:rPr>
          <w:color w:val="1E293B"/>
          <w:sz w:val="19"/>
        </w:rPr>
        <w:t>[1] IEEE Standards Association, "IEEE Recommended Practice and Requirements for Harmonic Control in Electric Power Systems," IEEE Std 519-2022, pp. 1-31, 2022.</w:t>
      </w:r>
    </w:p>
    <w:p>
      <w:pPr>
        <w:spacing w:before="60" w:after="60" w:line="276" w:lineRule="auto"/>
      </w:pPr>
      <w:r>
        <w:rPr>
          <w:color w:val="1E293B"/>
          <w:sz w:val="19"/>
        </w:rPr>
        <w:t>[2] Z. Wang, R. Chen, and Y. Liu, "Architectural Patterns for Cloud-Native Smart Energy Management Systems in Institutional Campuses," IEEE Transactions on Smart Grid, vol. 12, no. 4, pp. 3120-3131, Jul. 2021.</w:t>
      </w:r>
    </w:p>
    <w:p>
      <w:pPr>
        <w:spacing w:before="60" w:after="60" w:line="276" w:lineRule="auto"/>
      </w:pPr>
      <w:r>
        <w:rPr>
          <w:color w:val="1E293B"/>
          <w:sz w:val="19"/>
        </w:rPr>
        <w:t>[3] Bureau of Energy Efficiency (BEE), Ministry of Power, Government of India, "Energy Conservation Building Code (ECBC) - Technical User Guide," New Delhi, 2021.</w:t>
      </w:r>
    </w:p>
    <w:p>
      <w:pPr>
        <w:spacing w:before="60" w:after="60" w:line="276" w:lineRule="auto"/>
      </w:pPr>
      <w:r>
        <w:rPr>
          <w:color w:val="1E293B"/>
          <w:sz w:val="19"/>
        </w:rPr>
        <w:t>[4] Django Software Foundation, "Django Documentation (Version 4.2 LTS): Models, ORM, and QuerySet Optimization," https://docs.djangoproject.com, 2024.</w:t>
      </w:r>
    </w:p>
    <w:p>
      <w:pPr>
        <w:spacing w:before="60" w:after="60" w:line="276" w:lineRule="auto"/>
      </w:pPr>
      <w:r>
        <w:rPr>
          <w:color w:val="1E293B"/>
          <w:sz w:val="19"/>
        </w:rPr>
        <w:t>[5] T. Christie et al., "Django REST Framework: Web APIs for Python," https://www.django-rest-framework.org, 2024.</w:t>
      </w:r>
    </w:p>
    <w:p>
      <w:pPr>
        <w:spacing w:before="60" w:after="60" w:line="276" w:lineRule="auto"/>
      </w:pPr>
      <w:r>
        <w:rPr>
          <w:color w:val="1E293B"/>
          <w:sz w:val="19"/>
        </w:rPr>
        <w:t>[6] Meta Open Source, "React 18: Concurrent Rendering and Modern State Architecture," https://react.dev, 2024.</w:t>
      </w:r>
    </w:p>
    <w:p>
      <w:pPr>
        <w:spacing w:before="60" w:after="60" w:line="276" w:lineRule="auto"/>
      </w:pPr>
      <w:r>
        <w:rPr>
          <w:color w:val="1E293B"/>
          <w:sz w:val="19"/>
        </w:rPr>
        <w:t>[7] F. Pedregosa et al., "Scikit-learn: Machine Learning in Python," Journal of Machine Learning Research, vol. 12, pp. 2825-2830, 2011.</w:t>
      </w:r>
    </w:p>
    <w:p>
      <w:pPr>
        <w:spacing w:before="60" w:after="60" w:line="276" w:lineRule="auto"/>
      </w:pPr>
      <w:r>
        <w:rPr>
          <w:color w:val="1E293B"/>
          <w:sz w:val="19"/>
        </w:rPr>
        <w:t>[8] S. Kumar and P. Sharma, "Peak Load Shaving and Thermal Management in Campus Battery Energy Storage Systems (BESS)," International Journal of Electrical Power &amp; Energy Systems, vol. 135, p. 107512, Feb. 2022.</w:t>
      </w:r>
    </w:p>
    <w:p>
      <w:pPr>
        <w:spacing w:before="60" w:after="60" w:line="276" w:lineRule="auto"/>
      </w:pPr>
      <w:r>
        <w:rPr>
          <w:color w:val="1E293B"/>
          <w:sz w:val="19"/>
        </w:rPr>
        <w:t>[9] International Electrotechnical Commission (IEC), "IEC 62053-22: Electricity metering equipment - Static meters for AC active energy (classes 0,2 S and 0,5 S)," Geneva, Switzerland, 2020.</w:t>
      </w:r>
    </w:p>
    <w:p>
      <w:pPr>
        <w:spacing w:before="60" w:after="60" w:line="276" w:lineRule="auto"/>
      </w:pPr>
      <w:r>
        <w:rPr>
          <w:color w:val="1E293B"/>
          <w:sz w:val="19"/>
        </w:rPr>
        <w:t>[10] W. McKinney, "Data Structures for Statistical Computing in Python (Pandas)," Proceedings of the 9th Python in Science Conference, vol. 445, pp. 51-56, 2010.</w:t>
      </w:r>
    </w:p>
    <w:p>
      <w:pPr>
        <w:spacing w:before="60" w:after="60" w:line="276" w:lineRule="auto"/>
      </w:pPr>
      <w:r>
        <w:rPr>
          <w:color w:val="1E293B"/>
          <w:sz w:val="19"/>
        </w:rPr>
        <w:t>[11] Recharts Community, "Recharts: A Redefined Chart Library Built with React and D3," https://recharts.org, 2024.</w:t>
      </w:r>
    </w:p>
    <w:p>
      <w:pPr>
        <w:spacing w:before="60" w:after="60" w:line="276" w:lineRule="auto"/>
      </w:pPr>
      <w:r>
        <w:rPr>
          <w:color w:val="1E293B"/>
          <w:sz w:val="19"/>
        </w:rPr>
        <w:t>[12] A. Al-Fuqaha, M. Guizani, M. Mohammadi, M. Aledhari, and M. Ayyash, "Internet of Things: A Survey on Enabling Technologies, Protocols, and Applications," IEEE Communications Surveys &amp; Tutorials, vol. 17, no. 4, pp. 2347-2376, 2015.</w:t>
      </w:r>
    </w:p>
    <w:p>
      <w:pPr>
        <w:spacing w:before="60" w:after="60" w:line="276" w:lineRule="auto"/>
      </w:pPr>
      <w:r>
        <w:rPr>
          <w:color w:val="1E293B"/>
          <w:sz w:val="19"/>
        </w:rPr>
        <w:t>[13] ASHRAE Standard 90.1-2022, "Energy Standard for Sites and Buildings Except Low-Rise Residential Buildings," American Society of Heating, Refrigerating and Air-Conditioning Engineers, Atlanta, GA, 2022.</w:t>
      </w:r>
    </w:p>
    <w:p>
      <w:pPr>
        <w:spacing w:before="60" w:after="60" w:line="276" w:lineRule="auto"/>
      </w:pPr>
      <w:r>
        <w:rPr>
          <w:color w:val="1E293B"/>
          <w:sz w:val="19"/>
        </w:rPr>
        <w:t>[14] Y. LeCun, Y. Bengio, and G. Hinton, "Deep Learning and Energy Forecasting in Modern Microgrids," Nature, vol. 521, no. 7553, pp. 436-444, 2015.</w:t>
      </w:r>
    </w:p>
    <w:p>
      <w:pPr>
        <w:spacing w:before="60" w:after="60" w:line="276" w:lineRule="auto"/>
      </w:pPr>
      <w:r>
        <w:rPr>
          <w:color w:val="1E293B"/>
          <w:sz w:val="19"/>
        </w:rPr>
        <w:t>[15] Tailwind Labs Inc., "Tailwind CSS: Utility-First CSS Framework Specification (v3.4)," https://tailwindcss.com, 2024.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Department of Computer Science &amp; Engineering</w:t>
      <w:tab/>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748B"/>
        <w:sz w:val="17"/>
      </w:rPr>
      <w:t>GREEN GRID: Smart Energy Management System |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