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j2ppyym9i139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JK Paper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(Paper Industry)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Members:- </w:t>
      </w: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Pratyush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  <w:rtl w:val="0"/>
        </w:rPr>
        <w:t xml:space="preserve">JK Paper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highlight w:val="white"/>
          <w:rtl w:val="0"/>
        </w:rPr>
        <w:t xml:space="preserve"> is Indias largest producer of branded papers and a leading player in Coated Papers and High-end Packaging Boards.</w:t>
      </w: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145.60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700838" cy="2924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982" l="2403" r="2884" t="26495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