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kmsgvucsth2m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Corporate Courier &amp; Cargo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rtl w:val="0"/>
        </w:rPr>
        <w:t xml:space="preserve">(Courier Industry)    </w:t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Team Members :-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Vikas Patel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>
          <w:rFonts w:ascii="Arial" w:cs="Arial" w:eastAsia="Arial" w:hAnsi="Arial"/>
          <w:color w:val="737373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737373"/>
          <w:sz w:val="28"/>
          <w:szCs w:val="28"/>
          <w:highlight w:val="white"/>
          <w:rtl w:val="0"/>
        </w:rPr>
        <w:t xml:space="preserve">Corporate Courier and Cargo Limited is providing logistics services in India. It also constructs residential and commercial projects; and provides engineering services.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</w:t>
      </w:r>
      <w:r w:rsidDel="00000000" w:rsidR="00000000" w:rsidRPr="00000000">
        <w:rPr>
          <w:b w:val="1"/>
          <w:color w:val="6d64e8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12.49</w:t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429375" cy="28622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262" l="3586" r="5021" t="262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4.png"/>
          <a:graphic>
            <a:graphicData uri="http://schemas.openxmlformats.org/drawingml/2006/picture">
              <pic:pic>
                <pic:nvPicPr>
                  <pic:cNvPr descr="geometric_corner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