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nea9j9ly8nql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Hindustan Unilever Ltd</w:t>
      </w:r>
    </w:p>
    <w:p w:rsidR="00000000" w:rsidDel="00000000" w:rsidP="00000000" w:rsidRDefault="00000000" w:rsidRPr="00000000" w14:paraId="00000002">
      <w:pPr>
        <w:pStyle w:val="Heading2"/>
        <w:rPr>
          <w:sz w:val="48"/>
          <w:szCs w:val="48"/>
        </w:rPr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(FMCG Industry)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Members:- Jai Kishan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u w:val="single"/>
          <w:rtl w:val="0"/>
        </w:rPr>
        <w:t xml:space="preserve">Hindustan Unilever Limited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rtl w:val="0"/>
        </w:rPr>
        <w:t xml:space="preserve"> is engaged in fast-moving consumer goods business comprising home and personal care, foods and refreshments.</w:t>
      </w:r>
    </w:p>
    <w:p w:rsidR="00000000" w:rsidDel="00000000" w:rsidP="00000000" w:rsidRDefault="00000000" w:rsidRPr="00000000" w14:paraId="00000006">
      <w:pPr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1698</w:t>
      </w: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686550" cy="2957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401" l="1923" r="2884" t="2678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\</w:t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2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