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h0khw11jlrqg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Larsen &amp; Toubro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(Science and Technology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highlight w:val="white"/>
          <w:rtl w:val="0"/>
        </w:rPr>
        <w:t xml:space="preserve">Yash Chapalgaonkar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L&amp;Ts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 standalone financials capture the performance of the Infrastructure segment, Power, Heavy Engineering, Electrical &amp; Automation and the Others segment comprising Metallurgical and Material Handling business, a part of Realty business, a part of Hydrocarbon business, part of Shipbuilding business and Construction &amp; Mining Machinery business.</w:t>
      </w:r>
    </w:p>
    <w:p w:rsidR="00000000" w:rsidDel="00000000" w:rsidP="00000000" w:rsidRDefault="00000000" w:rsidRPr="00000000" w14:paraId="00000006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1397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53225" cy="28622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7386" l="2083" r="4166" t="2471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3.png"/>
          <a:graphic>
            <a:graphicData uri="http://schemas.openxmlformats.org/drawingml/2006/picture">
              <pic:pic>
                <pic:nvPicPr>
                  <pic:cNvPr descr="footer graphic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2.png"/>
          <a:graphic>
            <a:graphicData uri="http://schemas.openxmlformats.org/drawingml/2006/picture">
              <pic:pic>
                <pic:nvPicPr>
                  <pic:cNvPr descr="geometric_corner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