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df0dems5claj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Navneet Education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(Printing and stationery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Team Members:- Pankaj Dinker and Sanskar Kumar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Arial" w:cs="Arial" w:eastAsia="Arial" w:hAnsi="Arial"/>
          <w:color w:val="73737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u w:val="single"/>
          <w:rtl w:val="0"/>
        </w:rPr>
        <w:t xml:space="preserve">Navneet Education</w:t>
      </w: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rtl w:val="0"/>
        </w:rPr>
        <w:t xml:space="preserve"> founded by the Gala Family- is an educational syllabus-based content provider in Print &amp; Digital medium, a manufacturer of Scholastic Paper Stationery, publisher of General &amp; Children books and also has a wide range of Scholastic Non-Paper Stationary products.</w:t>
      </w:r>
    </w:p>
    <w:p w:rsidR="00000000" w:rsidDel="00000000" w:rsidP="00000000" w:rsidRDefault="00000000" w:rsidRPr="00000000" w14:paraId="00000006">
      <w:pPr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108.80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6724650" cy="29448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077" l="3525" r="4006" t="2621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94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4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2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