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8mo2hl70nrmz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Polyplex Corporation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9xyc388hrfq" w:id="1"/>
      <w:bookmarkEnd w:id="1"/>
      <w:r w:rsidDel="00000000" w:rsidR="00000000" w:rsidRPr="00000000">
        <w:rPr>
          <w:i w:val="1"/>
          <w:rtl w:val="0"/>
        </w:rPr>
        <w:t xml:space="preserve">(Packaging Industry)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color w:val="434343"/>
          <w:sz w:val="28"/>
          <w:szCs w:val="28"/>
          <w:highlight w:val="whit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Team Members:- </w:t>
      </w:r>
      <w:r w:rsidDel="00000000" w:rsidR="00000000" w:rsidRPr="00000000">
        <w:rPr>
          <w:color w:val="434343"/>
          <w:sz w:val="28"/>
          <w:szCs w:val="28"/>
          <w:highlight w:val="white"/>
          <w:rtl w:val="0"/>
        </w:rPr>
        <w:t xml:space="preserve">Mohit Doddi</w:t>
      </w:r>
    </w:p>
    <w:p w:rsidR="00000000" w:rsidDel="00000000" w:rsidP="00000000" w:rsidRDefault="00000000" w:rsidRPr="00000000" w14:paraId="00000004">
      <w:pPr>
        <w:rPr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rPr>
          <w:rFonts w:ascii="Arial" w:cs="Arial" w:eastAsia="Arial" w:hAnsi="Arial"/>
          <w:color w:val="73737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28"/>
          <w:szCs w:val="28"/>
          <w:u w:val="single"/>
          <w:rtl w:val="0"/>
        </w:rPr>
        <w:t xml:space="preserve">Polyplex Corporation Limited</w:t>
      </w:r>
      <w:r w:rsidDel="00000000" w:rsidR="00000000" w:rsidRPr="00000000">
        <w:rPr>
          <w:rFonts w:ascii="Arial" w:cs="Arial" w:eastAsia="Arial" w:hAnsi="Arial"/>
          <w:color w:val="737373"/>
          <w:sz w:val="28"/>
          <w:szCs w:val="28"/>
          <w:rtl w:val="0"/>
        </w:rPr>
        <w:t xml:space="preserve"> is a holding company. The Company is a manufacturer of thin polyester terephthalate (PET) films.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518.55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6743700" cy="30114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6941" l="2724" r="4647" t="2697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01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5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4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4.png"/>
          <a:graphic>
            <a:graphicData uri="http://schemas.openxmlformats.org/drawingml/2006/picture">
              <pic:pic>
                <pic:nvPicPr>
                  <pic:cNvPr descr="geometric_corner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