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hu7746qy4yf0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United Breweries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</w:t>
      </w:r>
      <w:r w:rsidDel="00000000" w:rsidR="00000000" w:rsidRPr="00000000">
        <w:rPr>
          <w:i w:val="1"/>
          <w:highlight w:val="white"/>
          <w:rtl w:val="0"/>
        </w:rPr>
        <w:t xml:space="preserve">Breweries and Distilleries</w:t>
      </w:r>
      <w:r w:rsidDel="00000000" w:rsidR="00000000" w:rsidRPr="00000000">
        <w:rPr>
          <w:i w:val="1"/>
          <w:rtl w:val="0"/>
        </w:rPr>
        <w:t xml:space="preserve">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 :- </w:t>
      </w:r>
      <w:r w:rsidDel="00000000" w:rsidR="00000000" w:rsidRPr="00000000">
        <w:rPr>
          <w:color w:val="434343"/>
          <w:sz w:val="28"/>
          <w:szCs w:val="28"/>
          <w:highlight w:val="white"/>
          <w:rtl w:val="0"/>
        </w:rPr>
        <w:t xml:space="preserve">Manish Gurnani and Naman Aggarwal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  <w:rtl w:val="0"/>
        </w:rPr>
        <w:t xml:space="preserve">United Breweries</w:t>
      </w: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highlight w:val="white"/>
          <w:rtl w:val="0"/>
        </w:rPr>
        <w:t xml:space="preserve">is engaged in the manufacture and sale of beer. The Company has manufacturing facilities in India.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1388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743700" cy="33289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-7503" l="1602" r="4166" t="2756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3328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4" name="image2.png"/>
          <a:graphic>
            <a:graphicData uri="http://schemas.openxmlformats.org/drawingml/2006/picture">
              <pic:pic>
                <pic:nvPicPr>
                  <pic:cNvPr descr="foot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3" name="image1.png"/>
          <a:graphic>
            <a:graphicData uri="http://schemas.openxmlformats.org/drawingml/2006/picture">
              <pic:pic>
                <pic:nvPicPr>
                  <pic:cNvPr descr="corner graphic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2" name="image3.png"/>
          <a:graphic>
            <a:graphicData uri="http://schemas.openxmlformats.org/drawingml/2006/picture">
              <pic:pic>
                <pic:nvPicPr>
                  <pic:cNvPr descr="geometric_corner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