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EMPLOYMENT AGREEMENT</w:t>
      </w:r>
    </w:p>
    <w:p>
      <w:r>
        <w:t>This Employment Agreement is entered into as of January 15, 2025, by and between TechNova Solutions Inc. ('Employer') and Vikram Mehta ('Executive').</w:t>
      </w:r>
    </w:p>
    <w:p>
      <w:pPr>
        <w:pStyle w:val="Heading1"/>
      </w:pPr>
      <w:r>
        <w:t>1. Position and Responsibilities</w:t>
      </w:r>
    </w:p>
    <w:p>
      <w:r>
        <w:t>The Executive shall serve as Chief Technology Officer (CTO). The Executive will report directly to the Chief Executive Officer and will oversee global engineering, research &amp; development, and cybersecurity infrastructure.</w:t>
      </w:r>
    </w:p>
    <w:p>
      <w:pPr>
        <w:pStyle w:val="Heading1"/>
      </w:pPr>
      <w:r>
        <w:t>2. Compensation and Benefits</w:t>
      </w:r>
    </w:p>
    <w:p>
      <w:r>
        <w:t>• Base Salary: The Company will pay the Executive an annualized base salary of $240,000 USD, payable bi-weekly.</w:t>
      </w:r>
    </w:p>
    <w:p>
      <w:r>
        <w:t>• Annual Bonus: The Executive is eligible for a target discretionary bonus of 35% of base salary based on key performance milestones.</w:t>
      </w:r>
    </w:p>
    <w:p>
      <w:r>
        <w:t>• Equity Incentive: 50,000 stock options vesting over 4 years with a 1-year cliff.</w:t>
      </w:r>
    </w:p>
    <w:p>
      <w:r>
        <w:t>• Health &amp; Wellness: Comprehensive medical, dental, and vision insurance with 100% employer contribution.</w:t>
      </w:r>
    </w:p>
    <w:p>
      <w:pPr>
        <w:pStyle w:val="Heading1"/>
      </w:pPr>
      <w:r>
        <w:t>3. Termination and Notice Period</w:t>
      </w:r>
    </w:p>
    <w:p>
      <w:r>
        <w:t>Either party may terminate this agreement at any time by providing at least sixty (60) days written notice. In the event of termination without cause, the Executive shall receive 6 months of severance pay.</w:t>
      </w:r>
    </w:p>
    <w:p>
      <w:pPr>
        <w:pStyle w:val="Heading1"/>
      </w:pPr>
      <w:r>
        <w:t>4. Non-Disclosure and Confidentiality</w:t>
      </w:r>
    </w:p>
    <w:p>
      <w:r>
        <w:t>The Executive agrees to hold all proprietary technologies, source code, client lists, and algorithmic trade secrets in strict confidence for a period of five (5) years post-termination.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