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6"/>
        </w:rPr>
        <w:t>ENTERPRISE CLOUD SERVICES PROPOSAL</w:t>
      </w:r>
    </w:p>
    <w:p>
      <w:pPr>
        <w:jc w:val="center"/>
      </w:pPr>
      <w:r>
        <w:rPr>
          <w:i/>
          <w:sz w:val="22"/>
        </w:rPr>
        <w:t>Vendor: AlphaTech Cloud Solutions Inc. | Proposal Ref: PROP-AT-2024-01</w:t>
      </w:r>
    </w:p>
    <w:p>
      <w:r>
        <w:t>---------------------------------------------------------------------------</w:t>
      </w:r>
    </w:p>
    <w:p>
      <w:pPr>
        <w:pStyle w:val="Heading1"/>
      </w:pPr>
      <w:r>
        <w:t>1. Executive Summary &amp; Overview</w:t>
      </w:r>
    </w:p>
    <w:p>
      <w:r>
        <w:t>AlphaTech Cloud Solutions Inc. is pleased to submit this commercial proposal for enterprise cloud hosting, server infrastructure management, and technical support. Our solution provides cost-effective, proven cloud reliability designed for high-throughput enterprise workloads.</w:t>
      </w:r>
    </w:p>
    <w:p>
      <w:pPr>
        <w:pStyle w:val="Heading1"/>
      </w:pPr>
      <w:r>
        <w:t>2. Commercials &amp; Pricing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 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Billing Frequency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 (USD)</w:t>
            </w:r>
          </w:p>
        </w:tc>
      </w:tr>
      <w:tr>
        <w:tc>
          <w:tcPr>
            <w:tcW w:type="dxa" w:w="2880"/>
          </w:tcPr>
          <w:p>
            <w:r>
              <w:t>Core Cloud Infrastructure (16 vCPU, 64GB RAM)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$8,500 / Quarter</w:t>
            </w:r>
          </w:p>
        </w:tc>
      </w:tr>
      <w:tr>
        <w:tc>
          <w:tcPr>
            <w:tcW w:type="dxa" w:w="2880"/>
          </w:tcPr>
          <w:p>
            <w:r>
              <w:t>Managed Database &amp; Storage (5TB SSD)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$2,000 / Quarter</w:t>
            </w:r>
          </w:p>
        </w:tc>
      </w:tr>
      <w:tr>
        <w:tc>
          <w:tcPr>
            <w:tcW w:type="dxa" w:w="2880"/>
          </w:tcPr>
          <w:p>
            <w:r>
              <w:t>Standard Technical Support (Business Hours)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$750 / Quarter</w:t>
            </w:r>
          </w:p>
        </w:tc>
      </w:tr>
      <w:tr>
        <w:tc>
          <w:tcPr>
            <w:tcW w:type="dxa" w:w="2880"/>
          </w:tcPr>
          <w:p>
            <w:r>
              <w:t>TOTAL ANNUAL CONTRACT VALUE</w:t>
            </w:r>
          </w:p>
        </w:tc>
        <w:tc>
          <w:tcPr>
            <w:tcW w:type="dxa" w:w="2880"/>
          </w:tcPr>
          <w:p>
            <w:r>
              <w:t>Annual (Billed Quarterly)</w:t>
            </w:r>
          </w:p>
        </w:tc>
        <w:tc>
          <w:tcPr>
            <w:tcW w:type="dxa" w:w="2880"/>
          </w:tcPr>
          <w:p>
            <w:r>
              <w:t>$45,000 / Year</w:t>
            </w:r>
          </w:p>
        </w:tc>
      </w:tr>
      <w:tr>
        <w:tc>
          <w:tcPr>
            <w:tcW w:type="dxa" w:w="2880"/>
          </w:tcPr>
          <w:p>
            <w:r>
              <w:t>Payment Terms</w:t>
            </w:r>
          </w:p>
        </w:tc>
        <w:tc>
          <w:tcPr>
            <w:tcW w:type="dxa" w:w="2880"/>
          </w:tcPr>
          <w:p>
            <w:r>
              <w:t>Net 30 Days</w:t>
            </w:r>
          </w:p>
        </w:tc>
        <w:tc>
          <w:tcPr>
            <w:tcW w:type="dxa" w:w="2880"/>
          </w:tcPr>
          <w:p>
            <w:r>
              <w:t>Strict 30 days from invoice date</w:t>
            </w:r>
          </w:p>
        </w:tc>
      </w:tr>
    </w:tbl>
    <w:p>
      <w:pPr>
        <w:pStyle w:val="Heading1"/>
      </w:pPr>
      <w:r>
        <w:t>3. Service Level Agreement (SLA) &amp; Reliability</w:t>
      </w:r>
    </w:p>
    <w:p>
      <w:r>
        <w:t>• Uptime Commitment: 99.9% Monthly Availability (Maximum allowable downtime: ~43.8 minutes/month or ~8.76 hours/year).</w:t>
        <w:br/>
        <w:t>• Downtime Remedy: If uptime drops below 99.9%, Client receives a 5% credit on the monthly service charge.</w:t>
        <w:br/>
        <w:t>• Support Window: Monday to Friday, 9:00 AM to 6:00 PM EST (Excluding US Federal Holidays).</w:t>
        <w:br/>
        <w:t>• Support Response Time: Standard 4-hour initial response time for Critical Priority incidents.</w:t>
        <w:br/>
        <w:t>• Scheduled Maintenance: Performed on the 2nd Saturday of each month between 12:00 AM and 4:00 AM EST.</w:t>
      </w:r>
    </w:p>
    <w:p>
      <w:pPr>
        <w:pStyle w:val="Heading1"/>
      </w:pPr>
      <w:r>
        <w:t>4. Data Protection &amp; Security Certifications</w:t>
      </w:r>
    </w:p>
    <w:p>
      <w:r>
        <w:t>• Backup Frequency: Daily incremental backup scheduled at 02:00 UTC.</w:t>
        <w:br/>
        <w:t>• Backup Retention Period: 14 days of historical retention.</w:t>
        <w:br/>
        <w:t>• Security Compliance: SOC 2 Type II Certified annually.</w:t>
        <w:br/>
        <w:t>• Encryption: AES-256 encryption at rest and TLS 1.2 in transit.</w:t>
      </w:r>
    </w:p>
    <w:p>
      <w:pPr>
        <w:pStyle w:val="Heading1"/>
      </w:pPr>
      <w:r>
        <w:t>5. Contract Duration, Notice &amp; Early Termination Penalty</w:t>
      </w:r>
    </w:p>
    <w:p>
      <w:r>
        <w:t>• Initial Term: 12 Months starting from date of execution.</w:t>
        <w:br/>
        <w:t>• Renewal: Automatically renews for 12-month successive terms unless terminated.</w:t>
        <w:br/>
        <w:t>• Notice Period for Convenience: 60 days advance written notice required.</w:t>
        <w:br/>
        <w:t>• Early Termination Fee: If Client terminates before 12 months for convenience, Client must pay a flat $5,000 Early Termination Penalty plus 50% of remaining contract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