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5309"/>
          <w:sz w:val="36"/>
        </w:rPr>
        <w:t>ENTERPRISE MANAGED CLOUD &amp; AI INFRASTRUCTURE PROPOSAL</w:t>
      </w:r>
    </w:p>
    <w:p>
      <w:pPr>
        <w:jc w:val="center"/>
      </w:pPr>
      <w:r>
        <w:rPr>
          <w:i/>
          <w:sz w:val="22"/>
        </w:rPr>
        <w:t>Vendor: CloudNova Global Systems | Proposal Ref: PROP-CN-2024-99</w:t>
      </w:r>
    </w:p>
    <w:p>
      <w:r>
        <w:t>---------------------------------------------------------------------------</w:t>
      </w:r>
    </w:p>
    <w:p>
      <w:pPr>
        <w:pStyle w:val="Heading1"/>
      </w:pPr>
      <w:r>
        <w:t>1. Executive Summary &amp; Overview</w:t>
      </w:r>
    </w:p>
    <w:p>
      <w:r>
        <w:t>CloudNova Global Systems is pleased to offer our next-generation, high-availability Cloud &amp; AI-Ready Managed Infrastructure suite. Built for mission-critical digital enterprises, our platform guarantees ultra-low latency, 24/7/365 white-glove engineering support, and multi-cloud geographic failover.</w:t>
      </w:r>
    </w:p>
    <w:p>
      <w:pPr>
        <w:pStyle w:val="Heading1"/>
      </w:pPr>
      <w:r>
        <w:t>2. Commercials &amp; Pricing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 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Billing 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 (USD)</w:t>
            </w:r>
          </w:p>
        </w:tc>
      </w:tr>
      <w:tr>
        <w:tc>
          <w:tcPr>
            <w:tcW w:type="dxa" w:w="2880"/>
          </w:tcPr>
          <w:p>
            <w:r>
              <w:t>High-Availability Cloud Cluster (32 vCPU, 128GB RAM)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$3,500 / Month</w:t>
            </w:r>
          </w:p>
        </w:tc>
      </w:tr>
      <w:tr>
        <w:tc>
          <w:tcPr>
            <w:tcW w:type="dxa" w:w="2880"/>
          </w:tcPr>
          <w:p>
            <w:r>
              <w:t>Distributed NVMe Multi-Region Storage (10TB)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$1,000 / Month</w:t>
            </w:r>
          </w:p>
        </w:tc>
      </w:tr>
      <w:tr>
        <w:tc>
          <w:tcPr>
            <w:tcW w:type="dxa" w:w="2880"/>
          </w:tcPr>
          <w:p>
            <w:r>
              <w:t>24/7/365 Dedicated Enterprise Support &amp; SRE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$333 / Month</w:t>
            </w:r>
          </w:p>
        </w:tc>
      </w:tr>
      <w:tr>
        <w:tc>
          <w:tcPr>
            <w:tcW w:type="dxa" w:w="2880"/>
          </w:tcPr>
          <w:p>
            <w:r>
              <w:t>TOTAL ANNUAL CONTRACT VALUE</w:t>
            </w:r>
          </w:p>
        </w:tc>
        <w:tc>
          <w:tcPr>
            <w:tcW w:type="dxa" w:w="2880"/>
          </w:tcPr>
          <w:p>
            <w:r>
              <w:t>Monthly ($4,833/mo) or Annual Upfront</w:t>
            </w:r>
          </w:p>
        </w:tc>
        <w:tc>
          <w:tcPr>
            <w:tcW w:type="dxa" w:w="2880"/>
          </w:tcPr>
          <w:p>
            <w:r>
              <w:t>$58,000 / Year</w:t>
            </w:r>
          </w:p>
        </w:tc>
      </w:tr>
      <w:tr>
        <w:tc>
          <w:tcPr>
            <w:tcW w:type="dxa" w:w="2880"/>
          </w:tcPr>
          <w:p>
            <w:r>
              <w:t>Annual Upfront Incentive</w:t>
            </w:r>
          </w:p>
        </w:tc>
        <w:tc>
          <w:tcPr>
            <w:tcW w:type="dxa" w:w="2880"/>
          </w:tcPr>
          <w:p>
            <w:r>
              <w:t>10% Discount if prepaid</w:t>
            </w:r>
          </w:p>
        </w:tc>
        <w:tc>
          <w:tcPr>
            <w:tcW w:type="dxa" w:w="2880"/>
          </w:tcPr>
          <w:p>
            <w:r>
              <w:t>$52,200 Net Total</w:t>
            </w:r>
          </w:p>
        </w:tc>
      </w:tr>
      <w:tr>
        <w:tc>
          <w:tcPr>
            <w:tcW w:type="dxa" w:w="2880"/>
          </w:tcPr>
          <w:p>
            <w:r>
              <w:t>Payment Terms</w:t>
            </w:r>
          </w:p>
        </w:tc>
        <w:tc>
          <w:tcPr>
            <w:tcW w:type="dxa" w:w="2880"/>
          </w:tcPr>
          <w:p>
            <w:r>
              <w:t>Net 60 Days</w:t>
            </w:r>
          </w:p>
        </w:tc>
        <w:tc>
          <w:tcPr>
            <w:tcW w:type="dxa" w:w="2880"/>
          </w:tcPr>
          <w:p>
            <w:r>
              <w:t>Flexible 60 calendar days window</w:t>
            </w:r>
          </w:p>
        </w:tc>
      </w:tr>
    </w:tbl>
    <w:p>
      <w:pPr>
        <w:pStyle w:val="Heading1"/>
      </w:pPr>
      <w:r>
        <w:t>3. Service Level Agreement (SLA) &amp; Reliability</w:t>
      </w:r>
    </w:p>
    <w:p>
      <w:r>
        <w:t>• Uptime Commitment: 99.99% High-Availability Uptime (Maximum allowable downtime: ~4.38 minutes/month or ~52.6 minutes/year).</w:t>
        <w:br/>
        <w:t>• Downtime Remedy: For every 30 minutes of outage below 99.99%, Client receives a 20% credit on monthly fee (up to 100% of monthly bill).</w:t>
        <w:br/>
        <w:t>• Support Window: 24 Hours a Day, 7 Days a Week, 365 Days a Year (Continuous global coverage).</w:t>
        <w:br/>
        <w:t>• Support Response Time: Strict 15-Minute Guaranteed SLA for Critical incidents with dedicated SRE hotline.</w:t>
        <w:br/>
        <w:t>• Zero-Downtime Maintenance: All patches and kernel updates performed via rolling live migration with zero client impact.</w:t>
      </w:r>
    </w:p>
    <w:p>
      <w:pPr>
        <w:pStyle w:val="Heading1"/>
      </w:pPr>
      <w:r>
        <w:t>4. Data Protection &amp; Security Certifications</w:t>
      </w:r>
    </w:p>
    <w:p>
      <w:r>
        <w:t>• Backup Frequency: Continuous Real-Time Streaming Replication across 3 availability zones.</w:t>
        <w:br/>
        <w:t>• Backup Retention Period: 90 days of immutable, air-gapped point-in-time recovery.</w:t>
        <w:br/>
        <w:t>• Security Compliance: SOC 2 Type II, ISO/IEC 27001, and full HIPAA BAA compliance.</w:t>
        <w:br/>
        <w:t>• Encryption: End-to-end post-quantum cryptographic encryption at rest and TLS 1.3 in transit.</w:t>
      </w:r>
    </w:p>
    <w:p>
      <w:pPr>
        <w:pStyle w:val="Heading1"/>
      </w:pPr>
      <w:r>
        <w:t>5. Contract Duration, Notice &amp; Early Termination Penalty</w:t>
      </w:r>
    </w:p>
    <w:p>
      <w:r>
        <w:t>• Initial Term: 24 Months with fixed price guarantee (price lock).</w:t>
        <w:br/>
        <w:t>• Notice Period for Convenience: 30 days written notice.</w:t>
        <w:br/>
        <w:t>• Early Termination Fee: ZERO PENALTY. Client may terminate at any time with 30 days notice with no cancellation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