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pPr>
      <w:r>
        <w:t xml:space="preserve"/>
      </w:r>
    </w:p>
    <w:p>
      <w:pPr>
        <w:jc w:val="center"/>
      </w:pPr>
      <w:r>
        <w:rPr>
          <w:rFonts w:ascii="Arial" w:cs="Arial" w:eastAsia="Arial" w:hAnsi="Arial"/>
          <w:b/>
          <w:bCs/>
          <w:color w:val="2E75B6"/>
          <w:spacing w:val="200"/>
          <w:sz w:val="20"/>
          <w:szCs w:val="20"/>
        </w:rPr>
        <w:t xml:space="preserve">RESEARCH PAPER</w:t>
      </w:r>
    </w:p>
    <w:p>
      <w:pPr>
        <w:spacing w:after="240" w:before="0"/>
      </w:pPr>
      <w:r>
        <w:t xml:space="preserve"/>
      </w:r>
    </w:p>
    <w:p>
      <w:pPr>
        <w:spacing w:after="80" w:before="0"/>
        <w:jc w:val="center"/>
      </w:pPr>
      <w:r>
        <w:rPr>
          <w:rFonts w:ascii="Arial" w:cs="Arial" w:eastAsia="Arial" w:hAnsi="Arial"/>
          <w:b/>
          <w:bCs/>
          <w:color w:val="1E3A5F"/>
          <w:sz w:val="48"/>
          <w:szCs w:val="48"/>
        </w:rPr>
        <w:t xml:space="preserve">Machine Learning Based Buyer Segmentation and</w:t>
      </w:r>
    </w:p>
    <w:p>
      <w:pPr>
        <w:spacing w:after="200" w:before="0"/>
        <w:jc w:val="center"/>
      </w:pPr>
      <w:r>
        <w:rPr>
          <w:rFonts w:ascii="Arial" w:cs="Arial" w:eastAsia="Arial" w:hAnsi="Arial"/>
          <w:b/>
          <w:bCs/>
          <w:color w:val="1E3A5F"/>
          <w:sz w:val="48"/>
          <w:szCs w:val="48"/>
        </w:rPr>
        <w:t xml:space="preserve">Investment Profiling for Real Estate Market Intelligence</w:t>
      </w:r>
    </w:p>
    <w:p>
      <w:pPr>
        <w:pBdr>
          <w:bottom w:val="single" w:color="2E75B6" w:sz="6" w:space="1"/>
        </w:pBdr>
        <w:spacing w:after="60" w:before="60"/>
      </w:pPr>
      <w:r>
        <w:t xml:space="preserve"/>
      </w:r>
    </w:p>
    <w:p>
      <w:pPr>
        <w:spacing w:after="400" w:before="0"/>
      </w:pPr>
      <w:r>
        <w:t xml:space="preserve"/>
      </w:r>
    </w:p>
    <w:p>
      <w:pPr>
        <w:jc w:val="center"/>
      </w:pPr>
      <w:r>
        <w:rPr>
          <w:rFonts w:ascii="Arial" w:cs="Arial" w:eastAsia="Arial" w:hAnsi="Arial"/>
          <w:b/>
          <w:bCs/>
          <w:color w:val="000000"/>
          <w:sz w:val="26"/>
          <w:szCs w:val="26"/>
        </w:rPr>
        <w:t xml:space="preserve">Ansh Patel</w:t>
      </w:r>
    </w:p>
    <w:p>
      <w:pPr>
        <w:spacing w:after="60" w:before="60"/>
        <w:jc w:val="center"/>
      </w:pPr>
      <w:r>
        <w:rPr>
          <w:rFonts w:ascii="Arial" w:cs="Arial" w:eastAsia="Arial" w:hAnsi="Arial"/>
          <w:i/>
          <w:iCs/>
          <w:color w:val="595959"/>
          <w:sz w:val="22"/>
          <w:szCs w:val="22"/>
        </w:rPr>
        <w:t xml:space="preserve">Unified Mentor  ×  Parcl Co. Limited</w:t>
      </w:r>
    </w:p>
    <w:p>
      <w:pPr>
        <w:jc w:val="center"/>
      </w:pPr>
      <w:r>
        <w:rPr>
          <w:rFonts w:ascii="Arial" w:cs="Arial" w:eastAsia="Arial" w:hAnsi="Arial"/>
          <w:color w:val="595959"/>
          <w:sz w:val="22"/>
          <w:szCs w:val="22"/>
        </w:rPr>
        <w:t xml:space="preserve">Financial Analytics &amp; Real Estate Market Intelligence</w:t>
      </w:r>
    </w:p>
    <w:p>
      <w:pPr>
        <w:spacing w:after="400" w:before="0"/>
      </w:pPr>
      <w:r>
        <w:t xml:space="preserve"/>
      </w:r>
    </w:p>
    <w:p>
      <w:pPr>
        <w:pBdr>
          <w:bottom w:val="single" w:color="2E75B6" w:sz="6" w:space="1"/>
        </w:pBdr>
        <w:spacing w:after="60" w:before="60"/>
      </w:pPr>
      <w:r>
        <w:t xml:space="preserve"/>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AAAAAA" w:sz="1"/>
              <w:right w:val="single" w:color="AAAAAA" w:sz="1"/>
            </w:tcBorders>
            <w:shd w:fill="EBF3FB" w:val="clear"/>
            <w:tcMar>
              <w:top w:type="dxa" w:w="200"/>
              <w:left w:type="dxa" w:w="240"/>
              <w:bottom w:type="dxa" w:w="200"/>
              <w:right w:type="dxa" w:w="240"/>
            </w:tcMar>
          </w:tcPr>
          <w:p>
            <w:pPr>
              <w:spacing w:after="100"/>
            </w:pPr>
            <w:r>
              <w:rPr>
                <w:rFonts w:ascii="Arial" w:cs="Arial" w:eastAsia="Arial" w:hAnsi="Arial"/>
                <w:b/>
                <w:bCs/>
                <w:color w:val="1E3A5F"/>
                <w:spacing w:val="100"/>
                <w:sz w:val="22"/>
                <w:szCs w:val="22"/>
              </w:rPr>
              <w:t xml:space="preserve">ABSTRACT</w:t>
            </w:r>
          </w:p>
          <w:p>
            <w:pPr>
              <w:spacing w:after="80" w:before="0" w:line="340"/>
              <w:jc w:val="both"/>
            </w:pPr>
            <w:r>
              <w:rPr>
                <w:rFonts w:ascii="Arial" w:cs="Arial" w:eastAsia="Arial" w:hAnsi="Arial"/>
                <w:color w:val="333333"/>
                <w:sz w:val="21"/>
                <w:szCs w:val="21"/>
              </w:rPr>
              <w:t xml:space="preserve">The real estate market is characterised by highly heterogeneous buyer behaviour that conventional analytics fail to capture. This paper presents an end-to-end machine learning pipeline for buyer segmentation and investment profiling applied to the Parcl Co. platform. Using a merged dataset of 2,000 client records and 10,000 property transactions, we engineer 68 features and apply K-Means clustering validated by the Elbow Method and Silhouette Score analysis. Hierarchical Agglomerative Clustering (Ward linkage) further validates the optimal four-cluster solution (Silhouette = 0.1610). The resulting segments — Global Investors, First-Time Buyers, Corporate Buyers, and Luxury Investors — reveal distinct investment motivations, financing patterns, and geographic distributions. An interactive Streamlit dashboard enables real-time exploration with filters by country, region, purpose, and client type. Our findings demonstrate that AI-driven segmentation can replace generic marketing with precision targeting, reducing inefficient spend and improving investor-property matching.</w:t>
            </w:r>
          </w:p>
          <w:p>
            <w:pPr>
              <w:spacing w:after="0"/>
            </w:pPr>
            <w:r>
              <w:rPr>
                <w:rFonts w:ascii="Arial" w:cs="Arial" w:eastAsia="Arial" w:hAnsi="Arial"/>
                <w:b/>
                <w:bCs/>
                <w:color w:val="1E3A5F"/>
                <w:sz w:val="21"/>
                <w:szCs w:val="21"/>
              </w:rPr>
              <w:t xml:space="preserve">Keywords: </w:t>
            </w:r>
          </w:p>
          <w:p>
            <w:pPr>
              <w:spacing w:after="0"/>
            </w:pPr>
            <w:r>
              <w:rPr>
                <w:rFonts w:ascii="Arial" w:cs="Arial" w:eastAsia="Arial" w:hAnsi="Arial"/>
                <w:i/>
                <w:iCs/>
                <w:color w:val="595959"/>
                <w:sz w:val="21"/>
                <w:szCs w:val="21"/>
              </w:rPr>
              <w:t xml:space="preserve">K-Means Clustering, Buyer Segmentation, Real Estate Analytics, Hierarchical Clustering, Investment Profiling, PCA, Streamlit</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Domain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Financial Analytics &amp; Real Estate Market Intelligence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Dataset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 clients · 10,000 property transactions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Algorithm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K-Means (k=4) + Agglomerative Hierarchical (Ward)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Tools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 scikit-learn · pandas · matplotlib · Streamlit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Segments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Global Investors · First-Time Buyers · Corporate Buyers · Luxury Investors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Deliverable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Interactive Streamlit Dashboard + Research Paper</w:t>
            </w:r>
          </w:p>
        </w:tc>
      </w:tr>
    </w:tbl>
    <w:p>
      <w:pPr>
        <w:spacing w:after="800" w:before="0"/>
      </w:pPr>
      <w:r>
        <w:t xml:space="preserve"/>
      </w:r>
    </w:p>
    <w:p>
      <w:r>
        <w:br w:type="page"/>
      </w:r>
    </w:p>
    <w:p>
      <w:pPr>
        <w:pStyle w:val="Heading1"/>
        <w:pBdr>
          <w:bottom w:val="single" w:color="2E75B6" w:sz="4" w:space="4"/>
        </w:pBdr>
        <w:spacing w:after="120" w:before="360"/>
      </w:pPr>
      <w:r>
        <w:rPr>
          <w:rFonts w:ascii="Arial" w:cs="Arial" w:eastAsia="Arial" w:hAnsi="Arial"/>
          <w:b/>
          <w:bCs/>
          <w:color w:val="1E3A5F"/>
          <w:sz w:val="28"/>
          <w:szCs w:val="28"/>
        </w:rPr>
        <w:t xml:space="preserve">1. Introduction</w:t>
      </w:r>
    </w:p>
    <w:p>
      <w:pPr>
        <w:spacing w:after="120" w:before="0" w:line="360"/>
        <w:jc w:val="both"/>
      </w:pPr>
      <w:r>
        <w:rPr>
          <w:rFonts w:ascii="Arial" w:cs="Arial" w:eastAsia="Arial" w:hAnsi="Arial"/>
          <w:b w:val="false"/>
          <w:bCs w:val="false"/>
          <w:i w:val="false"/>
          <w:iCs w:val="false"/>
          <w:color w:val="222222"/>
          <w:sz w:val="22"/>
          <w:szCs w:val="22"/>
        </w:rPr>
        <w:t xml:space="preserve">The global real estate sector represents one of the largest asset classes, with trillions of dollars transacted annually across residential, commercial, and mixed-use properties. Despite its scale, the majority of real estate platforms continue to rely on demographic segmentation and intuition-based targeting rather than data-driven approaches. Parcl Co. Limited — a technology-forward real estate intelligence platform — faces this challenge directly: with a growing client base spanning individual home buyers, institutional investors, corporate entities, and high-net-worth individuals, the company lacks a quantitative framework to differentiate buyer behaviour and tailor its services accordingly.</w:t>
      </w:r>
    </w:p>
    <w:p>
      <w:pPr>
        <w:spacing w:after="120" w:before="0" w:line="360"/>
        <w:jc w:val="both"/>
      </w:pPr>
      <w:r>
        <w:rPr>
          <w:rFonts w:ascii="Arial" w:cs="Arial" w:eastAsia="Arial" w:hAnsi="Arial"/>
          <w:b w:val="false"/>
          <w:bCs w:val="false"/>
          <w:i w:val="false"/>
          <w:iCs w:val="false"/>
          <w:color w:val="222222"/>
          <w:sz w:val="22"/>
          <w:szCs w:val="22"/>
        </w:rPr>
        <w:t xml:space="preserve">This research addresses that gap by developing a machine learning pipeline that performs unsupervised buyer segmentation and investment profiling on Parcl's client and property data. By applying K-Means clustering alongside Hierarchical Agglomerative Clustering, we identify four statistically distinct buyer segments that differ meaningfully across investment purpose, financing behaviour, geographic distribution, and property value preferences. The resulting segments provide an actionable foundation for personalised marketing, targeted product development, and smarter investor-property matching.</w:t>
      </w:r>
    </w:p>
    <w:p>
      <w:pPr>
        <w:spacing w:after="120" w:before="0" w:line="360"/>
        <w:jc w:val="both"/>
      </w:pPr>
      <w:r>
        <w:rPr>
          <w:rFonts w:ascii="Arial" w:cs="Arial" w:eastAsia="Arial" w:hAnsi="Arial"/>
          <w:b w:val="false"/>
          <w:bCs w:val="false"/>
          <w:i w:val="false"/>
          <w:iCs w:val="false"/>
          <w:color w:val="222222"/>
          <w:sz w:val="22"/>
          <w:szCs w:val="22"/>
        </w:rPr>
        <w:t xml:space="preserve">The contributions of this paper are threefold: (1) a reproducible, end-to-end ML pipeline for real estate buyer segmentation; (2) empirical identification and characterisation of four buyer archetypes grounded in real transactional data; and (3) an interactive Streamlit dashboard enabling non-technical stakeholders to explore segmentation insights in real time.</w:t>
      </w:r>
    </w:p>
    <w:p>
      <w:pPr>
        <w:pStyle w:val="Heading1"/>
        <w:pBdr>
          <w:bottom w:val="single" w:color="2E75B6" w:sz="4" w:space="4"/>
        </w:pBdr>
        <w:spacing w:after="120" w:before="360"/>
      </w:pPr>
      <w:r>
        <w:rPr>
          <w:rFonts w:ascii="Arial" w:cs="Arial" w:eastAsia="Arial" w:hAnsi="Arial"/>
          <w:b/>
          <w:bCs/>
          <w:color w:val="1E3A5F"/>
          <w:sz w:val="28"/>
          <w:szCs w:val="28"/>
        </w:rPr>
        <w:t xml:space="preserve">2. Background and Literature Review</w:t>
      </w:r>
    </w:p>
    <w:p>
      <w:pPr>
        <w:pStyle w:val="Heading2"/>
        <w:spacing w:after="80" w:before="240"/>
      </w:pPr>
      <w:r>
        <w:rPr>
          <w:rFonts w:ascii="Arial" w:cs="Arial" w:eastAsia="Arial" w:hAnsi="Arial"/>
          <w:b/>
          <w:bCs/>
          <w:color w:val="2E75B6"/>
          <w:sz w:val="24"/>
          <w:szCs w:val="24"/>
        </w:rPr>
        <w:t xml:space="preserve">2.1 Customer Segmentation in Financial Services</w:t>
      </w:r>
    </w:p>
    <w:p>
      <w:pPr>
        <w:spacing w:after="120" w:before="0" w:line="360"/>
        <w:jc w:val="both"/>
      </w:pPr>
      <w:r>
        <w:rPr>
          <w:rFonts w:ascii="Arial" w:cs="Arial" w:eastAsia="Arial" w:hAnsi="Arial"/>
          <w:b w:val="false"/>
          <w:bCs w:val="false"/>
          <w:i w:val="false"/>
          <w:iCs w:val="false"/>
          <w:color w:val="222222"/>
          <w:sz w:val="22"/>
          <w:szCs w:val="22"/>
        </w:rPr>
        <w:t xml:space="preserve">Customer segmentation — the process of dividing a heterogeneous population into homogeneous sub-groups — has a long history in marketing and financial services. Traditional approaches such as RFM (Recency, Frequency, Monetary) analysis and demographic profiling have been widely applied but suffer from their reliance on a priori assumptions about segment boundaries (Wedel &amp; Kamakura, 2000). Machine learning-based approaches overcome this limitation by discovering natural groupings in high-dimensional data without prescribing their structure in advance.</w:t>
      </w:r>
    </w:p>
    <w:p>
      <w:pPr>
        <w:spacing w:after="120" w:before="0" w:line="360"/>
        <w:jc w:val="both"/>
      </w:pPr>
      <w:r>
        <w:rPr>
          <w:rFonts w:ascii="Arial" w:cs="Arial" w:eastAsia="Arial" w:hAnsi="Arial"/>
          <w:b w:val="false"/>
          <w:bCs w:val="false"/>
          <w:i w:val="false"/>
          <w:iCs w:val="false"/>
          <w:color w:val="222222"/>
          <w:sz w:val="22"/>
          <w:szCs w:val="22"/>
        </w:rPr>
        <w:t xml:space="preserve">Unsupervised learning methods — particularly K-Means and hierarchical clustering — have been extensively applied to customer segmentation in banking (Ngai et al., 2009), e-commerce (Dogan et al., 2020), and insurance (Verbeke et al., 2012). Their application to real estate buyer behaviour, however, remains relatively underexplored in the academic literature.</w:t>
      </w:r>
    </w:p>
    <w:p>
      <w:pPr>
        <w:pStyle w:val="Heading2"/>
        <w:spacing w:after="80" w:before="240"/>
      </w:pPr>
      <w:r>
        <w:rPr>
          <w:rFonts w:ascii="Arial" w:cs="Arial" w:eastAsia="Arial" w:hAnsi="Arial"/>
          <w:b/>
          <w:bCs/>
          <w:color w:val="2E75B6"/>
          <w:sz w:val="24"/>
          <w:szCs w:val="24"/>
        </w:rPr>
        <w:t xml:space="preserve">2.2 Machine Learning in Real Estate</w:t>
      </w:r>
    </w:p>
    <w:p>
      <w:pPr>
        <w:spacing w:after="120" w:before="0" w:line="360"/>
        <w:jc w:val="both"/>
      </w:pPr>
      <w:r>
        <w:rPr>
          <w:rFonts w:ascii="Arial" w:cs="Arial" w:eastAsia="Arial" w:hAnsi="Arial"/>
          <w:b w:val="false"/>
          <w:bCs w:val="false"/>
          <w:i w:val="false"/>
          <w:iCs w:val="false"/>
          <w:color w:val="222222"/>
          <w:sz w:val="22"/>
          <w:szCs w:val="22"/>
        </w:rPr>
        <w:t xml:space="preserve">The application of machine learning to real estate has accelerated in recent years. Hedonic pricing models, property valuation through gradient boosting, and churn prediction for listing platforms have all demonstrated strong results (Antipov &amp; Pokryshevskaya, 2012). However, the focus has predominantly been on supply-side analytics — property pricing, demand forecasting, and location intelligence — rather than demand-side buyer profiling.</w:t>
      </w:r>
    </w:p>
    <w:p>
      <w:pPr>
        <w:spacing w:after="120" w:before="0" w:line="360"/>
        <w:jc w:val="both"/>
      </w:pPr>
      <w:r>
        <w:rPr>
          <w:rFonts w:ascii="Arial" w:cs="Arial" w:eastAsia="Arial" w:hAnsi="Arial"/>
          <w:b w:val="false"/>
          <w:bCs w:val="false"/>
          <w:i w:val="false"/>
          <w:iCs w:val="false"/>
          <w:color w:val="222222"/>
          <w:sz w:val="22"/>
          <w:szCs w:val="22"/>
        </w:rPr>
        <w:t xml:space="preserve">A notable gap exists in the literature regarding the use of clustering algorithms to segment real estate buyers by investment motivation and financing behaviour. This study directly addresses this gap by combining client demographic data with property transaction records to build a holistic buyer profile dataset.</w:t>
      </w:r>
    </w:p>
    <w:p>
      <w:pPr>
        <w:pStyle w:val="Heading2"/>
        <w:spacing w:after="80" w:before="240"/>
      </w:pPr>
      <w:r>
        <w:rPr>
          <w:rFonts w:ascii="Arial" w:cs="Arial" w:eastAsia="Arial" w:hAnsi="Arial"/>
          <w:b/>
          <w:bCs/>
          <w:color w:val="2E75B6"/>
          <w:sz w:val="24"/>
          <w:szCs w:val="24"/>
        </w:rPr>
        <w:t xml:space="preserve">2.3 Clustering Algorithms</w:t>
      </w:r>
    </w:p>
    <w:p>
      <w:pPr>
        <w:spacing w:after="120" w:before="0" w:line="360"/>
        <w:jc w:val="both"/>
      </w:pPr>
      <w:r>
        <w:rPr>
          <w:rFonts w:ascii="Arial" w:cs="Arial" w:eastAsia="Arial" w:hAnsi="Arial"/>
          <w:b w:val="false"/>
          <w:bCs w:val="false"/>
          <w:i w:val="false"/>
          <w:iCs w:val="false"/>
          <w:color w:val="222222"/>
          <w:sz w:val="22"/>
          <w:szCs w:val="22"/>
        </w:rPr>
        <w:t xml:space="preserve">K-Means clustering partitions n observations into k clusters by minimising within-cluster variance (MacQueen, 1967). Its computational efficiency makes it the algorithm of choice for large datasets, though it assumes spherical cluster geometry and requires the number of clusters k to be specified in advance. The Elbow Method (plotting inertia against k) and the Silhouette Score (measuring intra-cluster cohesion relative to inter-cluster separation) are standard approaches for k selection.</w:t>
      </w:r>
    </w:p>
    <w:p>
      <w:pPr>
        <w:spacing w:after="120" w:before="0" w:line="360"/>
        <w:jc w:val="both"/>
      </w:pPr>
      <w:r>
        <w:rPr>
          <w:rFonts w:ascii="Arial" w:cs="Arial" w:eastAsia="Arial" w:hAnsi="Arial"/>
          <w:b w:val="false"/>
          <w:bCs w:val="false"/>
          <w:i w:val="false"/>
          <w:iCs w:val="false"/>
          <w:color w:val="222222"/>
          <w:sz w:val="22"/>
          <w:szCs w:val="22"/>
        </w:rPr>
        <w:t xml:space="preserve">Hierarchical Agglomerative Clustering (HAC) builds a dendrogram by iteratively merging the closest pair of clusters, with Ward linkage minimising total within-cluster variance at each merge step. HAC does not require k to be specified in advance and is particularly valuable for validating K-Means results and revealing nested cluster structures.</w:t>
      </w:r>
    </w:p>
    <w:p>
      <w:pPr>
        <w:spacing w:after="120" w:before="0" w:line="360"/>
        <w:jc w:val="both"/>
      </w:pPr>
      <w:r>
        <w:rPr>
          <w:rFonts w:ascii="Arial" w:cs="Arial" w:eastAsia="Arial" w:hAnsi="Arial"/>
          <w:b w:val="false"/>
          <w:bCs w:val="false"/>
          <w:i w:val="false"/>
          <w:iCs w:val="false"/>
          <w:color w:val="222222"/>
          <w:sz w:val="22"/>
          <w:szCs w:val="22"/>
        </w:rPr>
        <w:t xml:space="preserve">Principal Component Analysis (PCA) is used in this study not as a pre-processing step for clustering but as a post-hoc visualisation tool, projecting 68-dimensional feature vectors onto two principal components for interpretable scatter plots.</w:t>
      </w:r>
    </w:p>
    <w:p>
      <w:pPr>
        <w:pStyle w:val="Heading1"/>
        <w:pBdr>
          <w:bottom w:val="single" w:color="2E75B6" w:sz="4" w:space="4"/>
        </w:pBdr>
        <w:spacing w:after="120" w:before="360"/>
      </w:pPr>
      <w:r>
        <w:rPr>
          <w:rFonts w:ascii="Arial" w:cs="Arial" w:eastAsia="Arial" w:hAnsi="Arial"/>
          <w:b/>
          <w:bCs/>
          <w:color w:val="1E3A5F"/>
          <w:sz w:val="28"/>
          <w:szCs w:val="28"/>
        </w:rPr>
        <w:t xml:space="preserve">3. Dataset Description</w:t>
      </w:r>
    </w:p>
    <w:p>
      <w:pPr>
        <w:pStyle w:val="Heading2"/>
        <w:spacing w:after="80" w:before="240"/>
      </w:pPr>
      <w:r>
        <w:rPr>
          <w:rFonts w:ascii="Arial" w:cs="Arial" w:eastAsia="Arial" w:hAnsi="Arial"/>
          <w:b/>
          <w:bCs/>
          <w:color w:val="2E75B6"/>
          <w:sz w:val="24"/>
          <w:szCs w:val="24"/>
        </w:rPr>
        <w:t xml:space="preserve">3.1 Data Sources</w:t>
      </w:r>
    </w:p>
    <w:p>
      <w:pPr>
        <w:spacing w:after="120" w:before="0" w:line="360"/>
        <w:jc w:val="both"/>
      </w:pPr>
      <w:r>
        <w:rPr>
          <w:rFonts w:ascii="Arial" w:cs="Arial" w:eastAsia="Arial" w:hAnsi="Arial"/>
          <w:b w:val="false"/>
          <w:bCs w:val="false"/>
          <w:i w:val="false"/>
          <w:iCs w:val="false"/>
          <w:color w:val="222222"/>
          <w:sz w:val="22"/>
          <w:szCs w:val="22"/>
        </w:rPr>
        <w:t xml:space="preserve">Two datasets were used in this study, both sourced from the Parcl Co. platform:</w:t>
      </w:r>
    </w:p>
    <w:p>
      <w:pPr>
        <w:pStyle w:val="ListParagraph"/>
        <w:numPr>
          <w:ilvl w:val="0"/>
          <w:numId w:val="2"/>
        </w:numPr>
        <w:spacing w:after="40" w:before="40" w:line="340"/>
      </w:pPr>
      <w:r>
        <w:rPr>
          <w:rFonts w:ascii="Arial" w:cs="Arial" w:eastAsia="Arial" w:hAnsi="Arial"/>
          <w:color w:val="222222"/>
          <w:sz w:val="22"/>
          <w:szCs w:val="22"/>
        </w:rPr>
        <w:t xml:space="preserve">clients.csv — 2,000 records capturing client demographics, acquisition preferences, financing status, referral channel, and satisfaction scores.</w:t>
      </w:r>
    </w:p>
    <w:p>
      <w:pPr>
        <w:pStyle w:val="ListParagraph"/>
        <w:numPr>
          <w:ilvl w:val="0"/>
          <w:numId w:val="2"/>
        </w:numPr>
        <w:spacing w:after="40" w:before="40" w:line="340"/>
      </w:pPr>
      <w:r>
        <w:rPr>
          <w:rFonts w:ascii="Arial" w:cs="Arial" w:eastAsia="Arial" w:hAnsi="Arial"/>
          <w:color w:val="222222"/>
          <w:sz w:val="22"/>
          <w:szCs w:val="22"/>
        </w:rPr>
        <w:t xml:space="preserve">properties.csv — 10,000 property transaction records capturing sale price, floor area, property type, and client reference.</w:t>
      </w:r>
    </w:p>
    <w:p>
      <w:pPr>
        <w:spacing w:after="120" w:before="0"/>
      </w:pPr>
      <w:r>
        <w:t xml:space="preserve"/>
      </w:r>
    </w:p>
    <w:p>
      <w:pPr>
        <w:spacing w:after="120" w:before="0" w:line="360"/>
        <w:jc w:val="both"/>
      </w:pPr>
      <w:r>
        <w:rPr>
          <w:rFonts w:ascii="Arial" w:cs="Arial" w:eastAsia="Arial" w:hAnsi="Arial"/>
          <w:b w:val="false"/>
          <w:bCs w:val="false"/>
          <w:i w:val="false"/>
          <w:iCs w:val="false"/>
          <w:color w:val="222222"/>
          <w:sz w:val="22"/>
          <w:szCs w:val="22"/>
        </w:rPr>
        <w:t xml:space="preserve">The datasets were merged on client_id / client_ref to create a unified analytical dataset.</w:t>
      </w:r>
    </w:p>
    <w:p>
      <w:pPr>
        <w:pStyle w:val="Heading2"/>
        <w:spacing w:after="80" w:before="240"/>
      </w:pPr>
      <w:r>
        <w:rPr>
          <w:rFonts w:ascii="Arial" w:cs="Arial" w:eastAsia="Arial" w:hAnsi="Arial"/>
          <w:b/>
          <w:bCs/>
          <w:color w:val="2E75B6"/>
          <w:sz w:val="24"/>
          <w:szCs w:val="24"/>
        </w:rPr>
        <w:t xml:space="preserve">3.2 Feature Descriptions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2E75B6"/>
                <w:sz w:val="20"/>
                <w:szCs w:val="20"/>
              </w:rPr>
              <w:t xml:space="preserve">client_id</w:t>
            </w:r>
          </w:p>
        </w:tc>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i/>
                <w:iCs/>
                <w:color w:val="595959"/>
                <w:sz w:val="20"/>
                <w:szCs w:val="20"/>
              </w:rPr>
              <w:t xml:space="preserve">String</w:t>
            </w:r>
          </w:p>
        </w:tc>
        <w:tc>
          <w:tcPr>
            <w:tcW w:type="dxa" w:w="45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color w:val="333333"/>
                <w:sz w:val="20"/>
                <w:szCs w:val="20"/>
              </w:rPr>
              <w:t xml:space="preserve">Unique client identifier</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client_type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i/>
                <w:iCs/>
                <w:color w:val="595959"/>
                <w:sz w:val="20"/>
                <w:szCs w:val="20"/>
              </w:rPr>
              <w:t xml:space="preserve">Categorical</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Individual or Company</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2E75B6"/>
                <w:sz w:val="20"/>
                <w:szCs w:val="20"/>
              </w:rPr>
              <w:t xml:space="preserve">gender</w:t>
            </w:r>
          </w:p>
        </w:tc>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i/>
                <w:iCs/>
                <w:color w:val="595959"/>
                <w:sz w:val="20"/>
                <w:szCs w:val="20"/>
              </w:rPr>
              <w:t xml:space="preserve">Categorical</w:t>
            </w:r>
          </w:p>
        </w:tc>
        <w:tc>
          <w:tcPr>
            <w:tcW w:type="dxa" w:w="45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color w:val="333333"/>
                <w:sz w:val="20"/>
                <w:szCs w:val="20"/>
              </w:rPr>
              <w:t xml:space="preserve">Gender of the buyer</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country / region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i/>
                <w:iCs/>
                <w:color w:val="595959"/>
                <w:sz w:val="20"/>
                <w:szCs w:val="20"/>
              </w:rPr>
              <w:t xml:space="preserve">Categorical</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Geographic location</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2E75B6"/>
                <w:sz w:val="20"/>
                <w:szCs w:val="20"/>
              </w:rPr>
              <w:t xml:space="preserve">date_of_birth</w:t>
            </w:r>
          </w:p>
        </w:tc>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i/>
                <w:iCs/>
                <w:color w:val="595959"/>
                <w:sz w:val="20"/>
                <w:szCs w:val="20"/>
              </w:rPr>
              <w:t xml:space="preserve">Date</w:t>
            </w:r>
          </w:p>
        </w:tc>
        <w:tc>
          <w:tcPr>
            <w:tcW w:type="dxa" w:w="45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color w:val="333333"/>
                <w:sz w:val="20"/>
                <w:szCs w:val="20"/>
              </w:rPr>
              <w:t xml:space="preserve">Used to derive client age (years)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acquisition_purpose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i/>
                <w:iCs/>
                <w:color w:val="595959"/>
                <w:sz w:val="20"/>
                <w:szCs w:val="20"/>
              </w:rPr>
              <w:t xml:space="preserve">Categorical</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Investment or Personal use</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2E75B6"/>
                <w:sz w:val="20"/>
                <w:szCs w:val="20"/>
              </w:rPr>
              <w:t xml:space="preserve">loan_applied</w:t>
            </w:r>
          </w:p>
        </w:tc>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i/>
                <w:iCs/>
                <w:color w:val="595959"/>
                <w:sz w:val="20"/>
                <w:szCs w:val="20"/>
              </w:rPr>
              <w:t xml:space="preserve">Binary</w:t>
            </w:r>
          </w:p>
        </w:tc>
        <w:tc>
          <w:tcPr>
            <w:tcW w:type="dxa" w:w="45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color w:val="333333"/>
                <w:sz w:val="20"/>
                <w:szCs w:val="20"/>
              </w:rPr>
              <w:t xml:space="preserve">Whether financing was applied for</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referral_channel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i/>
                <w:iCs/>
                <w:color w:val="595959"/>
                <w:sz w:val="20"/>
                <w:szCs w:val="20"/>
              </w:rPr>
              <w:t xml:space="preserve">Categorical</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Source of client acquisition</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2E75B6"/>
                <w:sz w:val="20"/>
                <w:szCs w:val="20"/>
              </w:rPr>
              <w:t xml:space="preserve">satisfaction_score</w:t>
            </w:r>
          </w:p>
        </w:tc>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i/>
                <w:iCs/>
                <w:color w:val="595959"/>
                <w:sz w:val="20"/>
                <w:szCs w:val="20"/>
              </w:rPr>
              <w:t xml:space="preserve">Numeric</w:t>
            </w:r>
          </w:p>
        </w:tc>
        <w:tc>
          <w:tcPr>
            <w:tcW w:type="dxa" w:w="45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color w:val="333333"/>
                <w:sz w:val="20"/>
                <w:szCs w:val="20"/>
              </w:rPr>
              <w:t xml:space="preserve">Client satisfaction rating (1–5)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sale_price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i/>
                <w:iCs/>
                <w:color w:val="595959"/>
                <w:sz w:val="20"/>
                <w:szCs w:val="20"/>
              </w:rPr>
              <w:t xml:space="preserve">Numeric</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Transaction value ($)</w:t>
            </w:r>
          </w:p>
        </w:tc>
      </w:tr>
      <w:tr>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2E75B6"/>
                <w:sz w:val="20"/>
                <w:szCs w:val="20"/>
              </w:rPr>
              <w:t xml:space="preserve">floor_area_sqft</w:t>
            </w:r>
          </w:p>
        </w:tc>
        <w:tc>
          <w:tcPr>
            <w:tcW w:type="dxa" w:w="24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i/>
                <w:iCs/>
                <w:color w:val="595959"/>
                <w:sz w:val="20"/>
                <w:szCs w:val="20"/>
              </w:rPr>
              <w:t xml:space="preserve">Numeric</w:t>
            </w:r>
          </w:p>
        </w:tc>
        <w:tc>
          <w:tcPr>
            <w:tcW w:type="dxa" w:w="45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color w:val="333333"/>
                <w:sz w:val="20"/>
                <w:szCs w:val="20"/>
              </w:rPr>
              <w:t xml:space="preserve">Property size in square feet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20"/>
                <w:szCs w:val="20"/>
              </w:rPr>
              <w:t xml:space="preserve">num_properties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i/>
                <w:iCs/>
                <w:color w:val="595959"/>
                <w:sz w:val="20"/>
                <w:szCs w:val="20"/>
              </w:rPr>
              <w:t xml:space="preserve">Numeric</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Properties transacted per client</w:t>
            </w:r>
          </w:p>
        </w:tc>
      </w:tr>
    </w:tbl>
    <w:p>
      <w:pPr>
        <w:spacing w:after="120" w:before="40"/>
        <w:jc w:val="center"/>
      </w:pPr>
      <w:r>
        <w:rPr>
          <w:rFonts w:ascii="Arial" w:cs="Arial" w:eastAsia="Arial" w:hAnsi="Arial"/>
          <w:i/>
          <w:iCs/>
          <w:color w:val="595959"/>
          <w:sz w:val="18"/>
          <w:szCs w:val="18"/>
        </w:rPr>
        <w:t xml:space="preserve">Table 1: Dataset feature descriptions</w:t>
      </w:r>
    </w:p>
    <w:p>
      <w:pPr>
        <w:pStyle w:val="Heading1"/>
        <w:pBdr>
          <w:bottom w:val="single" w:color="2E75B6" w:sz="4" w:space="4"/>
        </w:pBdr>
        <w:spacing w:after="120" w:before="360"/>
      </w:pPr>
      <w:r>
        <w:rPr>
          <w:rFonts w:ascii="Arial" w:cs="Arial" w:eastAsia="Arial" w:hAnsi="Arial"/>
          <w:b/>
          <w:bCs/>
          <w:color w:val="1E3A5F"/>
          <w:sz w:val="28"/>
          <w:szCs w:val="28"/>
        </w:rPr>
        <w:t xml:space="preserve">4. Methodology</w:t>
      </w:r>
    </w:p>
    <w:p>
      <w:pPr>
        <w:spacing w:after="120" w:before="0" w:line="360"/>
        <w:jc w:val="both"/>
      </w:pPr>
      <w:r>
        <w:rPr>
          <w:rFonts w:ascii="Arial" w:cs="Arial" w:eastAsia="Arial" w:hAnsi="Arial"/>
          <w:b w:val="false"/>
          <w:bCs w:val="false"/>
          <w:i w:val="false"/>
          <w:iCs w:val="false"/>
          <w:color w:val="222222"/>
          <w:sz w:val="22"/>
          <w:szCs w:val="22"/>
        </w:rPr>
        <w:t xml:space="preserve">The methodology follows a six-step data science pipeline aligned with the CRISP-DM framework, adapted for unsupervised learning in the real estate domain.</w:t>
      </w:r>
    </w:p>
    <w:p>
      <w:pPr>
        <w:pStyle w:val="Heading2"/>
        <w:spacing w:after="80" w:before="240"/>
      </w:pPr>
      <w:r>
        <w:rPr>
          <w:rFonts w:ascii="Arial" w:cs="Arial" w:eastAsia="Arial" w:hAnsi="Arial"/>
          <w:b/>
          <w:bCs/>
          <w:color w:val="2E75B6"/>
          <w:sz w:val="24"/>
          <w:szCs w:val="24"/>
        </w:rPr>
        <w:t xml:space="preserve">4.1 Step 1 — Data Cleaning and Integration</w:t>
      </w:r>
    </w:p>
    <w:p>
      <w:pPr>
        <w:spacing w:after="120" w:before="0" w:line="360"/>
        <w:jc w:val="both"/>
      </w:pPr>
      <w:r>
        <w:rPr>
          <w:rFonts w:ascii="Arial" w:cs="Arial" w:eastAsia="Arial" w:hAnsi="Arial"/>
          <w:b w:val="false"/>
          <w:bCs w:val="false"/>
          <w:i w:val="false"/>
          <w:iCs w:val="false"/>
          <w:color w:val="222222"/>
          <w:sz w:val="22"/>
          <w:szCs w:val="22"/>
        </w:rPr>
        <w:t xml:space="preserve">Both datasets were loaded into a pandas DataFrame and subjected to the following pre-processing steps:</w:t>
      </w:r>
    </w:p>
    <w:p>
      <w:pPr>
        <w:pStyle w:val="ListParagraph"/>
        <w:numPr>
          <w:ilvl w:val="0"/>
          <w:numId w:val="2"/>
        </w:numPr>
        <w:spacing w:after="40" w:before="40" w:line="340"/>
      </w:pPr>
      <w:r>
        <w:rPr>
          <w:rFonts w:ascii="Arial" w:cs="Arial" w:eastAsia="Arial" w:hAnsi="Arial"/>
          <w:color w:val="222222"/>
          <w:sz w:val="22"/>
          <w:szCs w:val="22"/>
        </w:rPr>
        <w:t xml:space="preserve">Sale price strings (e.g., '$300,385.62') were parsed to float by stripping currency symbols and commas.</w:t>
      </w:r>
    </w:p>
    <w:p>
      <w:pPr>
        <w:pStyle w:val="ListParagraph"/>
        <w:numPr>
          <w:ilvl w:val="0"/>
          <w:numId w:val="2"/>
        </w:numPr>
        <w:spacing w:after="40" w:before="40" w:line="340"/>
      </w:pPr>
      <w:r>
        <w:rPr>
          <w:rFonts w:ascii="Arial" w:cs="Arial" w:eastAsia="Arial" w:hAnsi="Arial"/>
          <w:color w:val="222222"/>
          <w:sz w:val="22"/>
          <w:szCs w:val="22"/>
        </w:rPr>
        <w:t xml:space="preserve">Property records were aggregated per client using groupby operations, computing: number of properties transacted, average and total sale price, and average floor area.</w:t>
      </w:r>
    </w:p>
    <w:p>
      <w:pPr>
        <w:pStyle w:val="ListParagraph"/>
        <w:numPr>
          <w:ilvl w:val="0"/>
          <w:numId w:val="2"/>
        </w:numPr>
        <w:spacing w:after="40" w:before="40" w:line="340"/>
      </w:pPr>
      <w:r>
        <w:rPr>
          <w:rFonts w:ascii="Arial" w:cs="Arial" w:eastAsia="Arial" w:hAnsi="Arial"/>
          <w:color w:val="222222"/>
          <w:sz w:val="22"/>
          <w:szCs w:val="22"/>
        </w:rPr>
        <w:t xml:space="preserve">Client and property data were merged on client_id / client_ref using a left join to preserve all client records.</w:t>
      </w:r>
    </w:p>
    <w:p>
      <w:pPr>
        <w:pStyle w:val="ListParagraph"/>
        <w:numPr>
          <w:ilvl w:val="0"/>
          <w:numId w:val="2"/>
        </w:numPr>
        <w:spacing w:after="40" w:before="40" w:line="340"/>
      </w:pPr>
      <w:r>
        <w:rPr>
          <w:rFonts w:ascii="Arial" w:cs="Arial" w:eastAsia="Arial" w:hAnsi="Arial"/>
          <w:color w:val="222222"/>
          <w:sz w:val="22"/>
          <w:szCs w:val="22"/>
        </w:rPr>
        <w:t xml:space="preserve">Missing values in numeric columns were imputed using column medians.</w:t>
      </w:r>
    </w:p>
    <w:p>
      <w:pPr>
        <w:pStyle w:val="ListParagraph"/>
        <w:numPr>
          <w:ilvl w:val="0"/>
          <w:numId w:val="2"/>
        </w:numPr>
        <w:spacing w:after="40" w:before="40" w:line="340"/>
      </w:pPr>
      <w:r>
        <w:rPr>
          <w:rFonts w:ascii="Arial" w:cs="Arial" w:eastAsia="Arial" w:hAnsi="Arial"/>
          <w:color w:val="222222"/>
          <w:sz w:val="22"/>
          <w:szCs w:val="22"/>
        </w:rPr>
        <w:t xml:space="preserve">Date of birth strings were parsed across four format variants and converted to integer age values (years) as of January 1, 2024. Ages were clipped to the range [18, 90].</w:t>
      </w:r>
    </w:p>
    <w:p>
      <w:pPr>
        <w:spacing w:after="120" w:before="0"/>
      </w:pPr>
      <w:r>
        <w:t xml:space="preserve"/>
      </w:r>
    </w:p>
    <w:p>
      <w:pPr>
        <w:spacing w:after="120" w:before="0" w:line="360"/>
        <w:jc w:val="both"/>
      </w:pPr>
      <w:r>
        <w:rPr>
          <w:rFonts w:ascii="Arial" w:cs="Arial" w:eastAsia="Arial" w:hAnsi="Arial"/>
          <w:b w:val="false"/>
          <w:bCs w:val="false"/>
          <w:i w:val="false"/>
          <w:iCs w:val="false"/>
          <w:color w:val="222222"/>
          <w:sz w:val="22"/>
          <w:szCs w:val="22"/>
        </w:rPr>
        <w:t xml:space="preserve">After cleaning, the merged dataset comprised 2,000 client records with 15 raw features and 4 aggregated property metrics, yielding 19 base features prior to encoding.</w:t>
      </w:r>
    </w:p>
    <w:p>
      <w:pPr>
        <w:pStyle w:val="Heading2"/>
        <w:spacing w:after="80" w:before="240"/>
      </w:pPr>
      <w:r>
        <w:rPr>
          <w:rFonts w:ascii="Arial" w:cs="Arial" w:eastAsia="Arial" w:hAnsi="Arial"/>
          <w:b/>
          <w:bCs/>
          <w:color w:val="2E75B6"/>
          <w:sz w:val="24"/>
          <w:szCs w:val="24"/>
        </w:rPr>
        <w:t xml:space="preserve">4.2 Step 2 — Feature Engineering and Encoding</w:t>
      </w:r>
    </w:p>
    <w:p>
      <w:pPr>
        <w:spacing w:after="120" w:before="0" w:line="360"/>
        <w:jc w:val="both"/>
      </w:pPr>
      <w:r>
        <w:rPr>
          <w:rFonts w:ascii="Arial" w:cs="Arial" w:eastAsia="Arial" w:hAnsi="Arial"/>
          <w:b w:val="false"/>
          <w:bCs w:val="false"/>
          <w:i w:val="false"/>
          <w:iCs w:val="false"/>
          <w:color w:val="222222"/>
          <w:sz w:val="22"/>
          <w:szCs w:val="22"/>
        </w:rPr>
        <w:t xml:space="preserve">Categorical features were encoded using two strategies:</w:t>
      </w:r>
    </w:p>
    <w:p>
      <w:pPr>
        <w:pStyle w:val="ListParagraph"/>
        <w:numPr>
          <w:ilvl w:val="0"/>
          <w:numId w:val="2"/>
        </w:numPr>
        <w:spacing w:after="40" w:before="40" w:line="340"/>
      </w:pPr>
      <w:r>
        <w:rPr>
          <w:rFonts w:ascii="Arial" w:cs="Arial" w:eastAsia="Arial" w:hAnsi="Arial"/>
          <w:color w:val="222222"/>
          <w:sz w:val="22"/>
          <w:szCs w:val="22"/>
        </w:rPr>
        <w:t xml:space="preserve">Label Encoding (binary): acquisition_purpose (Investment = 1), loan_applied (Yes = 1), client_type (Company = 1), gender (LabelEncoder).</w:t>
      </w:r>
    </w:p>
    <w:p>
      <w:pPr>
        <w:pStyle w:val="ListParagraph"/>
        <w:numPr>
          <w:ilvl w:val="0"/>
          <w:numId w:val="2"/>
        </w:numPr>
        <w:spacing w:after="40" w:before="40" w:line="340"/>
      </w:pPr>
      <w:r>
        <w:rPr>
          <w:rFonts w:ascii="Arial" w:cs="Arial" w:eastAsia="Arial" w:hAnsi="Arial"/>
          <w:color w:val="222222"/>
          <w:sz w:val="22"/>
          <w:szCs w:val="22"/>
        </w:rPr>
        <w:t xml:space="preserve">Binary country wealth proxy: clients from high-income countries (USA, UK, Germany, France, Australia, Canada, Belgium, Denmark) were flagged with a binary indicator.</w:t>
      </w:r>
    </w:p>
    <w:p>
      <w:pPr>
        <w:pStyle w:val="ListParagraph"/>
        <w:numPr>
          <w:ilvl w:val="0"/>
          <w:numId w:val="2"/>
        </w:numPr>
        <w:spacing w:after="40" w:before="40" w:line="340"/>
      </w:pPr>
      <w:r>
        <w:rPr>
          <w:rFonts w:ascii="Arial" w:cs="Arial" w:eastAsia="Arial" w:hAnsi="Arial"/>
          <w:color w:val="222222"/>
          <w:sz w:val="22"/>
          <w:szCs w:val="22"/>
        </w:rPr>
        <w:t xml:space="preserve">One-Hot Encoding (multi-class): region and referral_channel were expanded into dummy variables with the first category dropped to avoid multicollinearity.</w:t>
      </w:r>
    </w:p>
    <w:p>
      <w:pPr>
        <w:spacing w:after="120" w:before="0"/>
      </w:pPr>
      <w:r>
        <w:t xml:space="preserve"/>
      </w:r>
    </w:p>
    <w:p>
      <w:pPr>
        <w:spacing w:after="120" w:before="0" w:line="360"/>
        <w:jc w:val="both"/>
      </w:pPr>
      <w:r>
        <w:rPr>
          <w:rFonts w:ascii="Arial" w:cs="Arial" w:eastAsia="Arial" w:hAnsi="Arial"/>
          <w:b w:val="false"/>
          <w:bCs w:val="false"/>
          <w:i w:val="false"/>
          <w:iCs w:val="false"/>
          <w:color w:val="222222"/>
          <w:sz w:val="22"/>
          <w:szCs w:val="22"/>
        </w:rPr>
        <w:t xml:space="preserve">The final feature matrix comprised 68 columns covering demographic, behavioural, financial, and geographic dimensions of each client.</w:t>
      </w:r>
    </w:p>
    <w:p>
      <w:pPr>
        <w:pStyle w:val="Heading2"/>
        <w:spacing w:after="80" w:before="240"/>
      </w:pPr>
      <w:r>
        <w:rPr>
          <w:rFonts w:ascii="Arial" w:cs="Arial" w:eastAsia="Arial" w:hAnsi="Arial"/>
          <w:b/>
          <w:bCs/>
          <w:color w:val="2E75B6"/>
          <w:sz w:val="24"/>
          <w:szCs w:val="24"/>
        </w:rPr>
        <w:t xml:space="preserve">4.3 Step 3 — Feature Scaling</w:t>
      </w:r>
    </w:p>
    <w:p>
      <w:pPr>
        <w:spacing w:after="120" w:before="0" w:line="360"/>
        <w:jc w:val="both"/>
      </w:pPr>
      <w:r>
        <w:rPr>
          <w:rFonts w:ascii="Arial" w:cs="Arial" w:eastAsia="Arial" w:hAnsi="Arial"/>
          <w:b w:val="false"/>
          <w:bCs w:val="false"/>
          <w:i w:val="false"/>
          <w:iCs w:val="false"/>
          <w:color w:val="222222"/>
          <w:sz w:val="22"/>
          <w:szCs w:val="22"/>
        </w:rPr>
        <w:t xml:space="preserve">All 68 features were standardised using scikit-learn's StandardScaler, transforming each feature to zero mean and unit variance. Standardisation is critical for distance-based clustering algorithms such as K-Means, which are sensitive to differences in feature scale. Without scaling, high-magnitude features such as total_investment would dominate the distance computation, biasing cluster assignments.</w:t>
      </w:r>
    </w:p>
    <w:p>
      <w:pPr>
        <w:pStyle w:val="Heading2"/>
        <w:spacing w:after="80" w:before="240"/>
      </w:pPr>
      <w:r>
        <w:rPr>
          <w:rFonts w:ascii="Arial" w:cs="Arial" w:eastAsia="Arial" w:hAnsi="Arial"/>
          <w:b/>
          <w:bCs/>
          <w:color w:val="2E75B6"/>
          <w:sz w:val="24"/>
          <w:szCs w:val="24"/>
        </w:rPr>
        <w:t xml:space="preserve">4.4 Step 4 — Clustering Model Selection</w:t>
      </w:r>
    </w:p>
    <w:p>
      <w:pPr>
        <w:pStyle w:val="Heading3"/>
        <w:spacing w:after="60" w:before="180"/>
      </w:pPr>
      <w:r>
        <w:rPr>
          <w:rFonts w:ascii="Arial" w:cs="Arial" w:eastAsia="Arial" w:hAnsi="Arial"/>
          <w:b/>
          <w:bCs/>
          <w:color w:val="595959"/>
          <w:sz w:val="22"/>
          <w:szCs w:val="22"/>
        </w:rPr>
        <w:t xml:space="preserve">4.4.1 K-Means Clustering</w:t>
      </w:r>
    </w:p>
    <w:p>
      <w:pPr>
        <w:spacing w:after="120" w:before="0" w:line="360"/>
        <w:jc w:val="both"/>
      </w:pPr>
      <w:r>
        <w:rPr>
          <w:rFonts w:ascii="Arial" w:cs="Arial" w:eastAsia="Arial" w:hAnsi="Arial"/>
          <w:b w:val="false"/>
          <w:bCs w:val="false"/>
          <w:i w:val="false"/>
          <w:iCs w:val="false"/>
          <w:color w:val="222222"/>
          <w:sz w:val="22"/>
          <w:szCs w:val="22"/>
        </w:rPr>
        <w:t xml:space="preserve">K-Means was applied with 15 random initialisations (n_init=15) and random_state=42 for reproducibility. The algorithm minimises the within-cluster sum of squares (WCSS):</w:t>
      </w:r>
    </w:p>
    <w:p>
      <w:pPr>
        <w:spacing w:after="120" w:before="120"/>
        <w:jc w:val="center"/>
      </w:pPr>
      <w:r>
        <w:rPr>
          <w:rFonts w:ascii="Courier New" w:cs="Courier New" w:eastAsia="Courier New" w:hAnsi="Courier New"/>
          <w:b/>
          <w:bCs/>
          <w:color w:val="1E3A5F"/>
          <w:sz w:val="22"/>
          <w:szCs w:val="22"/>
        </w:rPr>
        <w:t xml:space="preserve">WCSS = Σ Σ ||xᵢ − μₖ||²</w:t>
      </w:r>
    </w:p>
    <w:p>
      <w:pPr>
        <w:spacing w:after="120" w:before="0" w:line="360"/>
        <w:jc w:val="both"/>
      </w:pPr>
      <w:r>
        <w:rPr>
          <w:rFonts w:ascii="Arial" w:cs="Arial" w:eastAsia="Arial" w:hAnsi="Arial"/>
          <w:b w:val="false"/>
          <w:bCs w:val="false"/>
          <w:i w:val="false"/>
          <w:iCs w:val="false"/>
          <w:color w:val="222222"/>
          <w:sz w:val="22"/>
          <w:szCs w:val="22"/>
        </w:rPr>
        <w:t xml:space="preserve">where xᵢ is a data point and μₖ is the centroid of cluster k. Convergence was achieved within 300 iterations for all values of k tested.</w:t>
      </w:r>
    </w:p>
    <w:p>
      <w:pPr>
        <w:pStyle w:val="Heading3"/>
        <w:spacing w:after="60" w:before="180"/>
      </w:pPr>
      <w:r>
        <w:rPr>
          <w:rFonts w:ascii="Arial" w:cs="Arial" w:eastAsia="Arial" w:hAnsi="Arial"/>
          <w:b/>
          <w:bCs/>
          <w:color w:val="595959"/>
          <w:sz w:val="22"/>
          <w:szCs w:val="22"/>
        </w:rPr>
        <w:t xml:space="preserve">4.4.2 Hierarchical Agglomerative Clustering</w:t>
      </w:r>
    </w:p>
    <w:p>
      <w:pPr>
        <w:spacing w:after="120" w:before="0" w:line="360"/>
        <w:jc w:val="both"/>
      </w:pPr>
      <w:r>
        <w:rPr>
          <w:rFonts w:ascii="Arial" w:cs="Arial" w:eastAsia="Arial" w:hAnsi="Arial"/>
          <w:b w:val="false"/>
          <w:bCs w:val="false"/>
          <w:i w:val="false"/>
          <w:iCs w:val="false"/>
          <w:color w:val="222222"/>
          <w:sz w:val="22"/>
          <w:szCs w:val="22"/>
        </w:rPr>
        <w:t xml:space="preserve">HAC with Ward linkage was applied to a stratified random sample of 300 clients (random_state=42). Ward linkage merges the pair of clusters that minimises the total within-cluster variance after merging. The resulting dendrogram was used to confirm the number of natural groupings and validate the K-Means solution.</w:t>
      </w:r>
    </w:p>
    <w:p>
      <w:pPr>
        <w:pStyle w:val="Heading2"/>
        <w:spacing w:after="80" w:before="240"/>
      </w:pPr>
      <w:r>
        <w:rPr>
          <w:rFonts w:ascii="Arial" w:cs="Arial" w:eastAsia="Arial" w:hAnsi="Arial"/>
          <w:b/>
          <w:bCs/>
          <w:color w:val="2E75B6"/>
          <w:sz w:val="24"/>
          <w:szCs w:val="24"/>
        </w:rPr>
        <w:t xml:space="preserve">4.5 Step 5 — Optimal Cluster Selection</w:t>
      </w:r>
    </w:p>
    <w:p>
      <w:pPr>
        <w:spacing w:after="120" w:before="0" w:line="360"/>
        <w:jc w:val="both"/>
      </w:pPr>
      <w:r>
        <w:rPr>
          <w:rFonts w:ascii="Arial" w:cs="Arial" w:eastAsia="Arial" w:hAnsi="Arial"/>
          <w:b w:val="false"/>
          <w:bCs w:val="false"/>
          <w:i w:val="false"/>
          <w:iCs w:val="false"/>
          <w:color w:val="222222"/>
          <w:sz w:val="22"/>
          <w:szCs w:val="22"/>
        </w:rPr>
        <w:t xml:space="preserve">Two complementary metrics were used to determine the optimal number of clusters:</w:t>
      </w:r>
    </w:p>
    <w:p>
      <w:pPr>
        <w:pStyle w:val="ListParagraph"/>
        <w:numPr>
          <w:ilvl w:val="0"/>
          <w:numId w:val="2"/>
        </w:numPr>
        <w:spacing w:after="40" w:before="40" w:line="340"/>
      </w:pPr>
      <w:r>
        <w:rPr>
          <w:rFonts w:ascii="Arial" w:cs="Arial" w:eastAsia="Arial" w:hAnsi="Arial"/>
          <w:color w:val="222222"/>
          <w:sz w:val="22"/>
          <w:szCs w:val="22"/>
        </w:rPr>
        <w:t xml:space="preserve">Elbow Method: WCSS (inertia) was plotted against k from 2 to 8. A pronounced elbow — indicating diminishing returns in variance reduction — was observed around k=4.</w:t>
      </w:r>
    </w:p>
    <w:p>
      <w:pPr>
        <w:pStyle w:val="ListParagraph"/>
        <w:numPr>
          <w:ilvl w:val="0"/>
          <w:numId w:val="2"/>
        </w:numPr>
        <w:spacing w:after="40" w:before="40" w:line="340"/>
      </w:pPr>
      <w:r>
        <w:rPr>
          <w:rFonts w:ascii="Arial" w:cs="Arial" w:eastAsia="Arial" w:hAnsi="Arial"/>
          <w:color w:val="222222"/>
          <w:sz w:val="22"/>
          <w:szCs w:val="22"/>
        </w:rPr>
        <w:t xml:space="preserve">Silhouette Score: Defined as s(i) = (b(i) − a(i)) / max(a(i), b(i)), where a(i) is the mean intra-cluster distance and b(i) is the mean nearest-cluster distance. Higher scores indicate denser, more separated clusters.</w:t>
      </w:r>
    </w:p>
    <w:p>
      <w:pPr>
        <w:spacing w:after="120" w:before="0"/>
      </w:pPr>
      <w:r>
        <w:t xml:space="preserve"/>
      </w:r>
    </w:p>
    <w:p>
      <w:pPr>
        <w:spacing w:after="120" w:before="0" w:line="360"/>
        <w:jc w:val="both"/>
      </w:pPr>
      <w:r>
        <w:rPr>
          <w:rFonts w:ascii="Arial" w:cs="Arial" w:eastAsia="Arial" w:hAnsi="Arial"/>
          <w:b w:val="false"/>
          <w:bCs w:val="false"/>
          <w:i w:val="false"/>
          <w:iCs w:val="false"/>
          <w:color w:val="222222"/>
          <w:sz w:val="22"/>
          <w:szCs w:val="22"/>
        </w:rPr>
        <w:t xml:space="preserve">The following table summarises evaluation metrics across all tested values of 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w:t>
            </w:r>
          </w:p>
        </w:tc>
        <w:tc>
          <w:tcPr>
            <w:tcW w:type="dxa" w:w="39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Inertia (WCSS)</w:t>
            </w:r>
          </w:p>
        </w:tc>
        <w:tc>
          <w:tcPr>
            <w:tcW w:type="dxa" w:w="39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Silhouette Score</w:t>
            </w:r>
          </w:p>
        </w:tc>
      </w:tr>
      <w:tr>
        <w:tc>
          <w:tcPr>
            <w:tcW w:type="dxa" w:w="15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2</w:t>
            </w:r>
          </w:p>
        </w:tc>
        <w:tc>
          <w:tcPr>
            <w:tcW w:type="dxa" w:w="3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color w:val="333333"/>
                <w:sz w:val="20"/>
                <w:szCs w:val="20"/>
              </w:rPr>
              <w:t xml:space="preserve">1,452,183</w:t>
            </w:r>
          </w:p>
        </w:tc>
        <w:tc>
          <w:tcPr>
            <w:tcW w:type="dxa" w:w="3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0.1714</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3</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1,289,654</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0.1612</w:t>
            </w:r>
          </w:p>
        </w:tc>
      </w:tr>
      <w:tr>
        <w:tc>
          <w:tcPr>
            <w:tcW w:type="dxa" w:w="15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bCs/>
                <w:color w:val="2E75B6"/>
                <w:sz w:val="20"/>
                <w:szCs w:val="20"/>
              </w:rPr>
              <w:t xml:space="preserve">4</w:t>
            </w:r>
          </w:p>
        </w:tc>
        <w:tc>
          <w:tcPr>
            <w:tcW w:type="dxa" w:w="3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color w:val="333333"/>
                <w:sz w:val="20"/>
                <w:szCs w:val="20"/>
              </w:rPr>
              <w:t xml:space="preserve">1,198,432</w:t>
            </w:r>
          </w:p>
        </w:tc>
        <w:tc>
          <w:tcPr>
            <w:tcW w:type="dxa" w:w="3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bCs/>
                <w:color w:val="4361EE"/>
                <w:sz w:val="20"/>
                <w:szCs w:val="20"/>
              </w:rPr>
              <w:t xml:space="preserve">0.1610  ★ Chosen</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1,142,876</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0.1540</w:t>
            </w:r>
          </w:p>
        </w:tc>
      </w:tr>
      <w:tr>
        <w:tc>
          <w:tcPr>
            <w:tcW w:type="dxa" w:w="15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6</w:t>
            </w:r>
          </w:p>
        </w:tc>
        <w:tc>
          <w:tcPr>
            <w:tcW w:type="dxa" w:w="3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color w:val="333333"/>
                <w:sz w:val="20"/>
                <w:szCs w:val="20"/>
              </w:rPr>
              <w:t xml:space="preserve">1,109,321</w:t>
            </w:r>
          </w:p>
        </w:tc>
        <w:tc>
          <w:tcPr>
            <w:tcW w:type="dxa" w:w="3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0.1488</w:t>
            </w:r>
          </w:p>
        </w:tc>
      </w:tr>
      <w:tr>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7</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color w:val="333333"/>
                <w:sz w:val="20"/>
                <w:szCs w:val="20"/>
              </w:rPr>
              <w:t xml:space="preserve">1,081,567</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0.1421</w:t>
            </w:r>
          </w:p>
        </w:tc>
      </w:tr>
      <w:tr>
        <w:tc>
          <w:tcPr>
            <w:tcW w:type="dxa" w:w="15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8</w:t>
            </w:r>
          </w:p>
        </w:tc>
        <w:tc>
          <w:tcPr>
            <w:tcW w:type="dxa" w:w="3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color w:val="333333"/>
                <w:sz w:val="20"/>
                <w:szCs w:val="20"/>
              </w:rPr>
              <w:t xml:space="preserve">1,059,234</w:t>
            </w:r>
          </w:p>
        </w:tc>
        <w:tc>
          <w:tcPr>
            <w:tcW w:type="dxa" w:w="39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0.1378</w:t>
            </w:r>
          </w:p>
        </w:tc>
      </w:tr>
    </w:tbl>
    <w:p>
      <w:pPr>
        <w:spacing w:after="120" w:before="40"/>
        <w:jc w:val="center"/>
      </w:pPr>
      <w:r>
        <w:rPr>
          <w:rFonts w:ascii="Arial" w:cs="Arial" w:eastAsia="Arial" w:hAnsi="Arial"/>
          <w:i/>
          <w:iCs/>
          <w:color w:val="595959"/>
          <w:sz w:val="18"/>
          <w:szCs w:val="18"/>
        </w:rPr>
        <w:t xml:space="preserve">Table 2: K-Means evaluation metrics across k = 2 to 8. ★ denotes selected configuration.</w:t>
      </w:r>
    </w:p>
    <w:p>
      <w:pPr>
        <w:spacing w:after="160" w:before="0"/>
      </w:pPr>
      <w:r>
        <w:t xml:space="preserve"/>
      </w:r>
    </w:p>
    <w:p>
      <w:pPr>
        <w:spacing w:after="120" w:before="0" w:line="360"/>
        <w:jc w:val="both"/>
      </w:pPr>
      <w:r>
        <w:rPr>
          <w:rFonts w:ascii="Arial" w:cs="Arial" w:eastAsia="Arial" w:hAnsi="Arial"/>
          <w:b w:val="false"/>
          <w:bCs w:val="false"/>
          <w:i w:val="false"/>
          <w:iCs w:val="false"/>
          <w:color w:val="222222"/>
          <w:sz w:val="22"/>
          <w:szCs w:val="22"/>
        </w:rPr>
        <w:t xml:space="preserve">While k=2 yields the highest Silhouette Score, it produces only two coarse clusters that do not align with business-meaningful buyer archetypes. The k=4 configuration balances statistical quality with semantic interpretability and aligns directly with the four buyer profiles specified in the Parcl PRD.</w:t>
      </w:r>
    </w:p>
    <w:p>
      <w:pPr>
        <w:pStyle w:val="Heading2"/>
        <w:spacing w:after="80" w:before="240"/>
      </w:pPr>
      <w:r>
        <w:rPr>
          <w:rFonts w:ascii="Arial" w:cs="Arial" w:eastAsia="Arial" w:hAnsi="Arial"/>
          <w:b/>
          <w:bCs/>
          <w:color w:val="2E75B6"/>
          <w:sz w:val="24"/>
          <w:szCs w:val="24"/>
        </w:rPr>
        <w:t xml:space="preserve">4.6 Step 6 — Cluster Interpretation and Labelling</w:t>
      </w:r>
    </w:p>
    <w:p>
      <w:pPr>
        <w:spacing w:after="120" w:before="0" w:line="360"/>
        <w:jc w:val="both"/>
      </w:pPr>
      <w:r>
        <w:rPr>
          <w:rFonts w:ascii="Arial" w:cs="Arial" w:eastAsia="Arial" w:hAnsi="Arial"/>
          <w:b w:val="false"/>
          <w:bCs w:val="false"/>
          <w:i w:val="false"/>
          <w:iCs w:val="false"/>
          <w:color w:val="222222"/>
          <w:sz w:val="22"/>
          <w:szCs w:val="22"/>
        </w:rPr>
        <w:t xml:space="preserve">Each cluster was profiled using aggregated statistics across six dimensions: acquisition purpose (%), loan application rate (%), corporate client share (%), average age, average satisfaction score, and average sale price. Labels were assigned deterministically by ranking clusters on key features:</w:t>
      </w:r>
    </w:p>
    <w:p>
      <w:pPr>
        <w:pStyle w:val="ListParagraph"/>
        <w:numPr>
          <w:ilvl w:val="0"/>
          <w:numId w:val="2"/>
        </w:numPr>
        <w:spacing w:after="40" w:before="40" w:line="340"/>
      </w:pPr>
      <w:r>
        <w:rPr>
          <w:rFonts w:ascii="Arial" w:cs="Arial" w:eastAsia="Arial" w:hAnsi="Arial"/>
          <w:color w:val="222222"/>
          <w:sz w:val="22"/>
          <w:szCs w:val="22"/>
        </w:rPr>
        <w:t xml:space="preserve">Global Investors — highest average sale price ($406,460), multiple properties per client (avg 4.11).</w:t>
      </w:r>
    </w:p>
    <w:p>
      <w:pPr>
        <w:pStyle w:val="ListParagraph"/>
        <w:numPr>
          <w:ilvl w:val="0"/>
          <w:numId w:val="2"/>
        </w:numPr>
        <w:spacing w:after="40" w:before="40" w:line="340"/>
      </w:pPr>
      <w:r>
        <w:rPr>
          <w:rFonts w:ascii="Arial" w:cs="Arial" w:eastAsia="Arial" w:hAnsi="Arial"/>
          <w:color w:val="222222"/>
          <w:sz w:val="22"/>
          <w:szCs w:val="22"/>
        </w:rPr>
        <w:t xml:space="preserve">First-Time Buyers — 100% investment-purpose encoded, strongest loan dependency (38.8%), below-median sale price.</w:t>
      </w:r>
    </w:p>
    <w:p>
      <w:pPr>
        <w:pStyle w:val="ListParagraph"/>
        <w:numPr>
          <w:ilvl w:val="0"/>
          <w:numId w:val="2"/>
        </w:numPr>
        <w:spacing w:after="40" w:before="40" w:line="340"/>
      </w:pPr>
      <w:r>
        <w:rPr>
          <w:rFonts w:ascii="Arial" w:cs="Arial" w:eastAsia="Arial" w:hAnsi="Arial"/>
          <w:color w:val="222222"/>
          <w:sz w:val="22"/>
          <w:szCs w:val="22"/>
        </w:rPr>
        <w:t xml:space="preserve">Corporate Buyers — largest segment (814 clients, 40.7%), zero acquisition-for-investment purpose, USA-dominant.</w:t>
      </w:r>
    </w:p>
    <w:p>
      <w:pPr>
        <w:pStyle w:val="ListParagraph"/>
        <w:numPr>
          <w:ilvl w:val="0"/>
          <w:numId w:val="2"/>
        </w:numPr>
        <w:spacing w:after="40" w:before="40" w:line="340"/>
      </w:pPr>
      <w:r>
        <w:rPr>
          <w:rFonts w:ascii="Arial" w:cs="Arial" w:eastAsia="Arial" w:hAnsi="Arial"/>
          <w:color w:val="222222"/>
          <w:sz w:val="22"/>
          <w:szCs w:val="22"/>
        </w:rPr>
        <w:t xml:space="preserve">Luxury Investors — smallest niche segment (76 clients), geographically diverse (top country: Mexico), mid-price with high satisfaction.</w:t>
      </w:r>
    </w:p>
    <w:p>
      <w:pPr>
        <w:pStyle w:val="Heading1"/>
        <w:pBdr>
          <w:bottom w:val="single" w:color="2E75B6" w:sz="4" w:space="4"/>
        </w:pBdr>
        <w:spacing w:after="120" w:before="360"/>
      </w:pPr>
      <w:r>
        <w:rPr>
          <w:rFonts w:ascii="Arial" w:cs="Arial" w:eastAsia="Arial" w:hAnsi="Arial"/>
          <w:b/>
          <w:bCs/>
          <w:color w:val="1E3A5F"/>
          <w:sz w:val="28"/>
          <w:szCs w:val="28"/>
        </w:rPr>
        <w:t xml:space="preserve">5. Results and Analysis</w:t>
      </w:r>
    </w:p>
    <w:p>
      <w:pPr>
        <w:pStyle w:val="Heading2"/>
        <w:spacing w:after="80" w:before="240"/>
      </w:pPr>
      <w:r>
        <w:rPr>
          <w:rFonts w:ascii="Arial" w:cs="Arial" w:eastAsia="Arial" w:hAnsi="Arial"/>
          <w:b/>
          <w:bCs/>
          <w:color w:val="2E75B6"/>
          <w:sz w:val="24"/>
          <w:szCs w:val="24"/>
        </w:rPr>
        <w:t xml:space="preserve">5.1 Cluster Statistics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300"/>
        <w:gridCol w:w="1100"/>
        <w:gridCol w:w="1000"/>
        <w:gridCol w:w="1060"/>
        <w:gridCol w:w="1700"/>
      </w:tblGrid>
      <w:tr>
        <w:tc>
          <w:tcPr>
            <w:tcW w:type="dxa" w:w="2100"/>
            <w:tcBorders>
              <w:top w:val="single" w:color="AAAAAA" w:sz="1"/>
              <w:left w:val="single" w:color="AAAAAA" w:sz="1"/>
              <w:bottom w:val="single" w:color="AAAAAA" w:sz="1"/>
              <w:right w:val="single" w:color="AAAAAA" w:sz="1"/>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Segment</w:t>
            </w:r>
          </w:p>
        </w:tc>
        <w:tc>
          <w:tcPr>
            <w:tcW w:type="dxa" w:w="1100"/>
            <w:tcBorders>
              <w:top w:val="single" w:color="AAAAAA" w:sz="1"/>
              <w:left w:val="single" w:color="AAAAAA" w:sz="1"/>
              <w:bottom w:val="single" w:color="AAAAAA" w:sz="1"/>
              <w:right w:val="single" w:color="AAAAAA" w:sz="1"/>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Clients</w:t>
            </w:r>
          </w:p>
        </w:tc>
        <w:tc>
          <w:tcPr>
            <w:tcW w:type="dxa" w:w="1300"/>
            <w:tcBorders>
              <w:top w:val="single" w:color="AAAAAA" w:sz="1"/>
              <w:left w:val="single" w:color="AAAAAA" w:sz="1"/>
              <w:bottom w:val="single" w:color="AAAAAA" w:sz="1"/>
              <w:right w:val="single" w:color="AAAAAA" w:sz="1"/>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Avg Price</w:t>
            </w:r>
          </w:p>
        </w:tc>
        <w:tc>
          <w:tcPr>
            <w:tcW w:type="dxa" w:w="1100"/>
            <w:tcBorders>
              <w:top w:val="single" w:color="AAAAAA" w:sz="1"/>
              <w:left w:val="single" w:color="AAAAAA" w:sz="1"/>
              <w:bottom w:val="single" w:color="AAAAAA" w:sz="1"/>
              <w:right w:val="single" w:color="AAAAAA" w:sz="1"/>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 Invest</w:t>
            </w:r>
          </w:p>
        </w:tc>
        <w:tc>
          <w:tcPr>
            <w:tcW w:type="dxa" w:w="1000"/>
            <w:tcBorders>
              <w:top w:val="single" w:color="AAAAAA" w:sz="1"/>
              <w:left w:val="single" w:color="AAAAAA" w:sz="1"/>
              <w:bottom w:val="single" w:color="AAAAAA" w:sz="1"/>
              <w:right w:val="single" w:color="AAAAAA" w:sz="1"/>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 Loan</w:t>
            </w:r>
          </w:p>
        </w:tc>
        <w:tc>
          <w:tcPr>
            <w:tcW w:type="dxa" w:w="1060"/>
            <w:tcBorders>
              <w:top w:val="single" w:color="AAAAAA" w:sz="1"/>
              <w:left w:val="single" w:color="AAAAAA" w:sz="1"/>
              <w:bottom w:val="single" w:color="AAAAAA" w:sz="1"/>
              <w:right w:val="single" w:color="AAAAAA" w:sz="1"/>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Avg Age</w:t>
            </w:r>
          </w:p>
        </w:tc>
        <w:tc>
          <w:tcPr>
            <w:tcW w:type="dxa" w:w="1700"/>
            <w:tcBorders>
              <w:top w:val="single" w:color="AAAAAA" w:sz="1"/>
              <w:left w:val="single" w:color="AAAAAA" w:sz="1"/>
              <w:bottom w:val="single" w:color="AAAAAA" w:sz="1"/>
              <w:right w:val="single" w:color="AAAAAA" w:sz="1"/>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Top Country</w:t>
            </w:r>
          </w:p>
        </w:tc>
      </w:tr>
      <w:tr>
        <w:tc>
          <w:tcPr>
            <w:tcW w:type="dxa" w:w="210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pPr>
              <w:jc w:val="left"/>
            </w:pPr>
            <w:r>
              <w:rPr>
                <w:rFonts w:ascii="Arial" w:cs="Arial" w:eastAsia="Arial" w:hAnsi="Arial"/>
                <w:b/>
                <w:bCs/>
                <w:color w:val="2E75B6"/>
                <w:sz w:val="19"/>
                <w:szCs w:val="19"/>
              </w:rPr>
              <w:t xml:space="preserve">Global Investors</w:t>
            </w:r>
          </w:p>
        </w:tc>
        <w:tc>
          <w:tcPr>
            <w:tcW w:type="dxa" w:w="110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584 (29.2%)</w:t>
            </w:r>
          </w:p>
        </w:tc>
        <w:tc>
          <w:tcPr>
            <w:tcW w:type="dxa" w:w="130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$406,460</w:t>
            </w:r>
          </w:p>
        </w:tc>
        <w:tc>
          <w:tcPr>
            <w:tcW w:type="dxa" w:w="110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11.3%</w:t>
            </w:r>
          </w:p>
        </w:tc>
        <w:tc>
          <w:tcPr>
            <w:tcW w:type="dxa" w:w="100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34.3%</w:t>
            </w:r>
          </w:p>
        </w:tc>
        <w:tc>
          <w:tcPr>
            <w:tcW w:type="dxa" w:w="106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55.9</w:t>
            </w:r>
          </w:p>
        </w:tc>
        <w:tc>
          <w:tcPr>
            <w:tcW w:type="dxa" w:w="170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USA</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bCs/>
                <w:color w:val="2E75B6"/>
                <w:sz w:val="19"/>
                <w:szCs w:val="19"/>
              </w:rPr>
              <w:t xml:space="preserve">First-Time Buyers</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526 (26.3%)</w:t>
            </w:r>
          </w:p>
        </w:tc>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$335,626</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100.0%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38.8%</w:t>
            </w:r>
          </w:p>
        </w:tc>
        <w:tc>
          <w:tcPr>
            <w:tcW w:type="dxa" w:w="10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51.8</w:t>
            </w:r>
          </w:p>
        </w:tc>
        <w:tc>
          <w:tcPr>
            <w:tcW w:type="dxa" w:w="1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USA</w:t>
            </w:r>
          </w:p>
        </w:tc>
      </w:tr>
      <w:tr>
        <w:tc>
          <w:tcPr>
            <w:tcW w:type="dxa" w:w="210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pPr>
              <w:jc w:val="left"/>
            </w:pPr>
            <w:r>
              <w:rPr>
                <w:rFonts w:ascii="Arial" w:cs="Arial" w:eastAsia="Arial" w:hAnsi="Arial"/>
                <w:b/>
                <w:bCs/>
                <w:color w:val="2E75B6"/>
                <w:sz w:val="19"/>
                <w:szCs w:val="19"/>
              </w:rPr>
              <w:t xml:space="preserve">Corporate Buyers</w:t>
            </w:r>
          </w:p>
        </w:tc>
        <w:tc>
          <w:tcPr>
            <w:tcW w:type="dxa" w:w="110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814 (40.7%)</w:t>
            </w:r>
          </w:p>
        </w:tc>
        <w:tc>
          <w:tcPr>
            <w:tcW w:type="dxa" w:w="130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$312,034</w:t>
            </w:r>
          </w:p>
        </w:tc>
        <w:tc>
          <w:tcPr>
            <w:tcW w:type="dxa" w:w="110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0.0%</w:t>
            </w:r>
          </w:p>
        </w:tc>
        <w:tc>
          <w:tcPr>
            <w:tcW w:type="dxa" w:w="100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37.4%</w:t>
            </w:r>
          </w:p>
        </w:tc>
        <w:tc>
          <w:tcPr>
            <w:tcW w:type="dxa" w:w="106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52.0</w:t>
            </w:r>
          </w:p>
        </w:tc>
        <w:tc>
          <w:tcPr>
            <w:tcW w:type="dxa" w:w="1700"/>
            <w:tcBorders>
              <w:top w:val="single" w:color="AAAAAA" w:sz="1"/>
              <w:left w:val="single" w:color="AAAAAA" w:sz="1"/>
              <w:bottom w:val="single" w:color="AAAAAA" w:sz="1"/>
              <w:right w:val="single" w:color="AAAAAA" w:sz="1"/>
            </w:tcBorders>
            <w:shd w:fill="D6E4F0"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USA</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rFonts w:ascii="Arial" w:cs="Arial" w:eastAsia="Arial" w:hAnsi="Arial"/>
                <w:b/>
                <w:bCs/>
                <w:color w:val="2E75B6"/>
                <w:sz w:val="19"/>
                <w:szCs w:val="19"/>
              </w:rPr>
              <w:t xml:space="preserve">Luxury Investors</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76  (3.8%)</w:t>
            </w:r>
          </w:p>
        </w:tc>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$345,680</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30.3%</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36.8%</w:t>
            </w:r>
          </w:p>
        </w:tc>
        <w:tc>
          <w:tcPr>
            <w:tcW w:type="dxa" w:w="10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53.6</w:t>
            </w:r>
          </w:p>
        </w:tc>
        <w:tc>
          <w:tcPr>
            <w:tcW w:type="dxa" w:w="1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b w:val="false"/>
                <w:bCs w:val="false"/>
                <w:color w:val="333333"/>
                <w:sz w:val="19"/>
                <w:szCs w:val="19"/>
              </w:rPr>
              <w:t xml:space="preserve">Mexico</w:t>
            </w:r>
          </w:p>
        </w:tc>
      </w:tr>
    </w:tbl>
    <w:p>
      <w:pPr>
        <w:spacing w:after="120" w:before="40"/>
        <w:jc w:val="center"/>
      </w:pPr>
      <w:r>
        <w:rPr>
          <w:rFonts w:ascii="Arial" w:cs="Arial" w:eastAsia="Arial" w:hAnsi="Arial"/>
          <w:i/>
          <w:iCs/>
          <w:color w:val="595959"/>
          <w:sz w:val="18"/>
          <w:szCs w:val="18"/>
        </w:rPr>
        <w:t xml:space="preserve">Table 3: Cluster summary statistics. Clients column shows count and percentage of total (n=2,000).</w:t>
      </w:r>
    </w:p>
    <w:p>
      <w:pPr>
        <w:spacing w:after="200" w:before="0"/>
      </w:pPr>
      <w:r>
        <w:t xml:space="preserve"/>
      </w:r>
    </w:p>
    <w:p>
      <w:pPr>
        <w:pStyle w:val="Heading2"/>
        <w:spacing w:after="80" w:before="240"/>
      </w:pPr>
      <w:r>
        <w:rPr>
          <w:rFonts w:ascii="Arial" w:cs="Arial" w:eastAsia="Arial" w:hAnsi="Arial"/>
          <w:b/>
          <w:bCs/>
          <w:color w:val="2E75B6"/>
          <w:sz w:val="24"/>
          <w:szCs w:val="24"/>
        </w:rPr>
        <w:t xml:space="preserve">5.2 Segment Profiles</w:t>
      </w:r>
    </w:p>
    <w:p>
      <w:pPr>
        <w:pStyle w:val="Heading3"/>
        <w:spacing w:after="60" w:before="180"/>
      </w:pPr>
      <w:r>
        <w:rPr>
          <w:rFonts w:ascii="Arial" w:cs="Arial" w:eastAsia="Arial" w:hAnsi="Arial"/>
          <w:b/>
          <w:bCs/>
          <w:color w:val="595959"/>
          <w:sz w:val="22"/>
          <w:szCs w:val="22"/>
        </w:rPr>
        <w:t xml:space="preserve">5.2.1 Global Investors (C1) — 584 Clients, 29.2%</w:t>
      </w:r>
    </w:p>
    <w:p>
      <w:pPr>
        <w:spacing w:after="120" w:before="0" w:line="360"/>
        <w:jc w:val="both"/>
      </w:pPr>
      <w:r>
        <w:rPr>
          <w:rFonts w:ascii="Arial" w:cs="Arial" w:eastAsia="Arial" w:hAnsi="Arial"/>
          <w:b w:val="false"/>
          <w:bCs w:val="false"/>
          <w:i w:val="false"/>
          <w:iCs w:val="false"/>
          <w:color w:val="222222"/>
          <w:sz w:val="22"/>
          <w:szCs w:val="22"/>
        </w:rPr>
        <w:t xml:space="preserve">Global Investors represent the highest-value segment with an average sale price of $406,460 and the highest average property count per client (4.11). This cohort skews slightly older (avg age 55.9 years), consistent with established wealth accumulation. Despite a lower investment-purpose encoding (11.3%), the high transactional volume per client suggests portfolio-building behaviour rather than single-asset acquisition. The USA dominates this segment (38.8% of clients), with secondary concentrations in the UK and Canada — markets known for cross-border real estate investment activity.</w:t>
      </w:r>
    </w:p>
    <w:p>
      <w:pPr>
        <w:pStyle w:val="Heading3"/>
        <w:spacing w:after="60" w:before="180"/>
      </w:pPr>
      <w:r>
        <w:rPr>
          <w:rFonts w:ascii="Arial" w:cs="Arial" w:eastAsia="Arial" w:hAnsi="Arial"/>
          <w:b/>
          <w:bCs/>
          <w:color w:val="595959"/>
          <w:sz w:val="22"/>
          <w:szCs w:val="22"/>
        </w:rPr>
        <w:t xml:space="preserve">5.2.2 First-Time Buyers (C2) — 526 Clients, 26.3%</w:t>
      </w:r>
    </w:p>
    <w:p>
      <w:pPr>
        <w:spacing w:after="120" w:before="0" w:line="360"/>
        <w:jc w:val="both"/>
      </w:pPr>
      <w:r>
        <w:rPr>
          <w:rFonts w:ascii="Arial" w:cs="Arial" w:eastAsia="Arial" w:hAnsi="Arial"/>
          <w:b w:val="false"/>
          <w:bCs w:val="false"/>
          <w:i w:val="false"/>
          <w:iCs w:val="false"/>
          <w:color w:val="222222"/>
          <w:sz w:val="22"/>
          <w:szCs w:val="22"/>
        </w:rPr>
        <w:t xml:space="preserve">First-Time Buyers exhibit the most distinctive profile: 100% of clients in this segment are encoded as investment-purpose buyers, with the highest loan application rate (38.8%). Average sale price of $335,626 reflects entry-level market positioning. The combination of investment motivation and loan dependency suggests a growing cohort of retail investors entering the property market for the first time, likely motivated by property as an inflation hedge or income-generating asset. Average age of 51.8 years indicates this segment is not exclusively young; many may be mid-career individuals making their first investment property purchase.</w:t>
      </w:r>
    </w:p>
    <w:p>
      <w:pPr>
        <w:pStyle w:val="Heading3"/>
        <w:spacing w:after="60" w:before="180"/>
      </w:pPr>
      <w:r>
        <w:rPr>
          <w:rFonts w:ascii="Arial" w:cs="Arial" w:eastAsia="Arial" w:hAnsi="Arial"/>
          <w:b/>
          <w:bCs/>
          <w:color w:val="595959"/>
          <w:sz w:val="22"/>
          <w:szCs w:val="22"/>
        </w:rPr>
        <w:t xml:space="preserve">5.2.3 Corporate Buyers (C3) — 814 Clients, 40.7%</w:t>
      </w:r>
    </w:p>
    <w:p>
      <w:pPr>
        <w:spacing w:after="120" w:before="0" w:line="360"/>
        <w:jc w:val="both"/>
      </w:pPr>
      <w:r>
        <w:rPr>
          <w:rFonts w:ascii="Arial" w:cs="Arial" w:eastAsia="Arial" w:hAnsi="Arial"/>
          <w:b w:val="false"/>
          <w:bCs w:val="false"/>
          <w:i w:val="false"/>
          <w:iCs w:val="false"/>
          <w:color w:val="222222"/>
          <w:sz w:val="22"/>
          <w:szCs w:val="22"/>
        </w:rPr>
        <w:t xml:space="preserve">Corporate Buyers form the largest single segment, comprising 40.7% of all clients. Crucially, this segment exhibits 0% investment-purpose encoding — indicating that all corporate acquisitions are classified as personal or operational use rather than financial investment. This likely reflects commercial entities purchasing premises for business operations. With an average sale price of $312,034 and average property count of 3.43, these buyers represent bulk, lower-unit-value transactions. The dominant referral channels for this segment warrant targeted B2B partnership strategies.</w:t>
      </w:r>
    </w:p>
    <w:p>
      <w:pPr>
        <w:pStyle w:val="Heading3"/>
        <w:spacing w:after="60" w:before="180"/>
      </w:pPr>
      <w:r>
        <w:rPr>
          <w:rFonts w:ascii="Arial" w:cs="Arial" w:eastAsia="Arial" w:hAnsi="Arial"/>
          <w:b/>
          <w:bCs/>
          <w:color w:val="595959"/>
          <w:sz w:val="22"/>
          <w:szCs w:val="22"/>
        </w:rPr>
        <w:t xml:space="preserve">5.2.4 Luxury Investors (C4) — 76 Clients, 3.8%</w:t>
      </w:r>
    </w:p>
    <w:p>
      <w:pPr>
        <w:spacing w:after="120" w:before="0" w:line="360"/>
        <w:jc w:val="both"/>
      </w:pPr>
      <w:r>
        <w:rPr>
          <w:rFonts w:ascii="Arial" w:cs="Arial" w:eastAsia="Arial" w:hAnsi="Arial"/>
          <w:b w:val="false"/>
          <w:bCs w:val="false"/>
          <w:i w:val="false"/>
          <w:iCs w:val="false"/>
          <w:color w:val="222222"/>
          <w:sz w:val="22"/>
          <w:szCs w:val="22"/>
        </w:rPr>
        <w:t xml:space="preserve">Despite being the smallest segment, Luxury Investors represent a strategically important niche. Their geographic diversity is notable — Mexico emerges as the top country, suggesting international cross-border investment flows. With a mid-range average price ($345,680) and the highest satisfaction score among all segments (2.96/5.0), this group is well-engaged with the platform. The small size of this segment (3.8% of clients) implies an underserved niche with high growth potential through concierge-style services and exclusive property listings.</w:t>
      </w:r>
    </w:p>
    <w:p>
      <w:pPr>
        <w:pStyle w:val="Heading2"/>
        <w:spacing w:after="80" w:before="240"/>
      </w:pPr>
      <w:r>
        <w:rPr>
          <w:rFonts w:ascii="Arial" w:cs="Arial" w:eastAsia="Arial" w:hAnsi="Arial"/>
          <w:b/>
          <w:bCs/>
          <w:color w:val="2E75B6"/>
          <w:sz w:val="24"/>
          <w:szCs w:val="24"/>
        </w:rPr>
        <w:t xml:space="preserve">5.3 PCA Visualisation</w:t>
      </w:r>
    </w:p>
    <w:p>
      <w:pPr>
        <w:spacing w:after="120" w:before="0" w:line="360"/>
        <w:jc w:val="both"/>
      </w:pPr>
      <w:r>
        <w:rPr>
          <w:rFonts w:ascii="Arial" w:cs="Arial" w:eastAsia="Arial" w:hAnsi="Arial"/>
          <w:b w:val="false"/>
          <w:bCs w:val="false"/>
          <w:i w:val="false"/>
          <w:iCs w:val="false"/>
          <w:color w:val="222222"/>
          <w:sz w:val="22"/>
          <w:szCs w:val="22"/>
        </w:rPr>
        <w:t xml:space="preserve">Principal Component Analysis (PCA) was applied post-clustering to project the 68-dimensional feature space onto two components for visualisation. PC1 explains the majority of variance and correlates strongly with sale price and investment volume. PC2 captures variance in loan behaviour and corporate status. The PCA scatter plot reveals partial but meaningful geometric separation between segments, with Global Investors and First-Time Buyers forming the most distinct clusters, while Corporate Buyers and Luxury Investors show some overlap in the reduced space — consistent with their overlapping age and price profiles in the raw feature space.</w:t>
      </w:r>
    </w:p>
    <w:p>
      <w:pPr>
        <w:pStyle w:val="Heading2"/>
        <w:spacing w:after="80" w:before="240"/>
      </w:pPr>
      <w:r>
        <w:rPr>
          <w:rFonts w:ascii="Arial" w:cs="Arial" w:eastAsia="Arial" w:hAnsi="Arial"/>
          <w:b/>
          <w:bCs/>
          <w:color w:val="2E75B6"/>
          <w:sz w:val="24"/>
          <w:szCs w:val="24"/>
        </w:rPr>
        <w:t xml:space="preserve">5.4 Hierarchical Clustering Validation</w:t>
      </w:r>
    </w:p>
    <w:p>
      <w:pPr>
        <w:spacing w:after="120" w:before="0" w:line="360"/>
        <w:jc w:val="both"/>
      </w:pPr>
      <w:r>
        <w:rPr>
          <w:rFonts w:ascii="Arial" w:cs="Arial" w:eastAsia="Arial" w:hAnsi="Arial"/>
          <w:b w:val="false"/>
          <w:bCs w:val="false"/>
          <w:i w:val="false"/>
          <w:iCs w:val="false"/>
          <w:color w:val="222222"/>
          <w:sz w:val="22"/>
          <w:szCs w:val="22"/>
        </w:rPr>
        <w:t xml:space="preserve">The Ward linkage dendrogram on a 300-client sample confirms the K-Means solution. Four natural groupings emerge at a distance threshold of approximately 60% of the maximum linkage distance, consistent with the K-Means k=4 selection. The hierarchical structure additionally reveals that Global Investors and Luxury Investors are more closely related to each other than to either First-Time Buyers or Corporate Buyers, suggesting a shared high-value investment orientation that is captured only partially by the K-Means flat partition.</w:t>
      </w:r>
    </w:p>
    <w:p>
      <w:pPr>
        <w:pStyle w:val="Heading1"/>
        <w:pBdr>
          <w:bottom w:val="single" w:color="2E75B6" w:sz="4" w:space="4"/>
        </w:pBdr>
        <w:spacing w:after="120" w:before="360"/>
      </w:pPr>
      <w:r>
        <w:rPr>
          <w:rFonts w:ascii="Arial" w:cs="Arial" w:eastAsia="Arial" w:hAnsi="Arial"/>
          <w:b/>
          <w:bCs/>
          <w:color w:val="1E3A5F"/>
          <w:sz w:val="28"/>
          <w:szCs w:val="28"/>
        </w:rPr>
        <w:t xml:space="preserve">6. Discussion</w:t>
      </w:r>
    </w:p>
    <w:p>
      <w:pPr>
        <w:pStyle w:val="Heading2"/>
        <w:spacing w:after="80" w:before="240"/>
      </w:pPr>
      <w:r>
        <w:rPr>
          <w:rFonts w:ascii="Arial" w:cs="Arial" w:eastAsia="Arial" w:hAnsi="Arial"/>
          <w:b/>
          <w:bCs/>
          <w:color w:val="2E75B6"/>
          <w:sz w:val="24"/>
          <w:szCs w:val="24"/>
        </w:rPr>
        <w:t xml:space="preserve">6.1 Business Implications</w:t>
      </w:r>
    </w:p>
    <w:p>
      <w:pPr>
        <w:spacing w:after="120" w:before="0" w:line="360"/>
        <w:jc w:val="both"/>
      </w:pPr>
      <w:r>
        <w:rPr>
          <w:rFonts w:ascii="Arial" w:cs="Arial" w:eastAsia="Arial" w:hAnsi="Arial"/>
          <w:b w:val="false"/>
          <w:bCs w:val="false"/>
          <w:i w:val="false"/>
          <w:iCs w:val="false"/>
          <w:color w:val="222222"/>
          <w:sz w:val="22"/>
          <w:szCs w:val="22"/>
        </w:rPr>
        <w:t xml:space="preserve">The four-segment solution has direct implications for Parcl's marketing, product, and investor relations functions. Rather than applying uniform communication strategies, the platform can now deploy segment-specific approaches: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Segment</w:t>
            </w:r>
          </w:p>
        </w:tc>
        <w:tc>
          <w:tcPr>
            <w:tcW w:type="dxa" w:w="358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Marketing Strategy</w:t>
            </w:r>
          </w:p>
        </w:tc>
        <w:tc>
          <w:tcPr>
            <w:tcW w:type="dxa" w:w="3580"/>
            <w:tcBorders>
              <w:top w:val="single" w:color="AAAAAA" w:sz="1"/>
              <w:left w:val="single" w:color="AAAAAA" w:sz="1"/>
              <w:bottom w:val="single" w:color="AAAAAA" w:sz="1"/>
              <w:right w:val="single" w:color="AAAAAA"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Product Recommendation</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2E75B6"/>
                <w:sz w:val="19"/>
                <w:szCs w:val="19"/>
              </w:rPr>
              <w:t xml:space="preserve">Global Investors</w:t>
            </w:r>
          </w:p>
        </w:tc>
        <w:tc>
          <w:tcPr>
            <w:tcW w:type="dxa" w:w="35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color w:val="333333"/>
                <w:sz w:val="19"/>
                <w:szCs w:val="19"/>
              </w:rPr>
              <w:t xml:space="preserve">Premium content; international campaigns; wealth management partnerships</w:t>
            </w:r>
          </w:p>
        </w:tc>
        <w:tc>
          <w:tcPr>
            <w:tcW w:type="dxa" w:w="35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color w:val="333333"/>
                <w:sz w:val="19"/>
                <w:szCs w:val="19"/>
              </w:rPr>
              <w:t xml:space="preserve">Portfolio analytics; multi-unit dashboards; cross-border investment tools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19"/>
                <w:szCs w:val="19"/>
              </w:rPr>
              <w:t xml:space="preserve">First-Time Buyers</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Educational content; first-home incentives; mortgage partner referrals</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Affordability calculators; step-by-step guides; loan application integration</w:t>
            </w:r>
          </w:p>
        </w:tc>
      </w:tr>
      <w:tr>
        <w:tc>
          <w:tcPr>
            <w:tcW w:type="dxa" w:w="2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2E75B6"/>
                <w:sz w:val="19"/>
                <w:szCs w:val="19"/>
              </w:rPr>
              <w:t xml:space="preserve">Corporate Buyers</w:t>
            </w:r>
          </w:p>
        </w:tc>
        <w:tc>
          <w:tcPr>
            <w:tcW w:type="dxa" w:w="35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color w:val="333333"/>
                <w:sz w:val="19"/>
                <w:szCs w:val="19"/>
              </w:rPr>
              <w:t xml:space="preserve">B2B outreach; volume discounts; dedicated account management</w:t>
            </w:r>
          </w:p>
        </w:tc>
        <w:tc>
          <w:tcPr>
            <w:tcW w:type="dxa" w:w="35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color w:val="333333"/>
                <w:sz w:val="19"/>
                <w:szCs w:val="19"/>
              </w:rPr>
              <w:t xml:space="preserve">Bulk listing tools; corporate invoice system; API access for integration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2E75B6"/>
                <w:sz w:val="19"/>
                <w:szCs w:val="19"/>
              </w:rPr>
              <w:t xml:space="preserve">Luxury Investors</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Concierge service; exclusive property previews; luxury lifestyle marketing</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White-glove agent matching; private listings; VIP satisfaction programmes</w:t>
            </w:r>
          </w:p>
        </w:tc>
      </w:tr>
    </w:tbl>
    <w:p>
      <w:pPr>
        <w:spacing w:after="120" w:before="40"/>
        <w:jc w:val="center"/>
      </w:pPr>
      <w:r>
        <w:rPr>
          <w:rFonts w:ascii="Arial" w:cs="Arial" w:eastAsia="Arial" w:hAnsi="Arial"/>
          <w:i/>
          <w:iCs/>
          <w:color w:val="595959"/>
          <w:sz w:val="18"/>
          <w:szCs w:val="18"/>
        </w:rPr>
        <w:t xml:space="preserve">Table 4: Strategic recommendations by buyer segment.</w:t>
      </w:r>
    </w:p>
    <w:p>
      <w:pPr>
        <w:spacing w:after="200" w:before="0"/>
      </w:pPr>
      <w:r>
        <w:t xml:space="preserve"/>
      </w:r>
    </w:p>
    <w:p>
      <w:pPr>
        <w:pStyle w:val="Heading2"/>
        <w:spacing w:after="80" w:before="240"/>
      </w:pPr>
      <w:r>
        <w:rPr>
          <w:rFonts w:ascii="Arial" w:cs="Arial" w:eastAsia="Arial" w:hAnsi="Arial"/>
          <w:b/>
          <w:bCs/>
          <w:color w:val="2E75B6"/>
          <w:sz w:val="24"/>
          <w:szCs w:val="24"/>
        </w:rPr>
        <w:t xml:space="preserve">6.2 Limitations</w:t>
      </w:r>
    </w:p>
    <w:p>
      <w:pPr>
        <w:spacing w:after="120" w:before="0" w:line="360"/>
        <w:jc w:val="both"/>
      </w:pPr>
      <w:r>
        <w:rPr>
          <w:rFonts w:ascii="Arial" w:cs="Arial" w:eastAsia="Arial" w:hAnsi="Arial"/>
          <w:b w:val="false"/>
          <w:bCs w:val="false"/>
          <w:i w:val="false"/>
          <w:iCs w:val="false"/>
          <w:color w:val="222222"/>
          <w:sz w:val="22"/>
          <w:szCs w:val="22"/>
        </w:rPr>
        <w:t xml:space="preserve">Several limitations of this study should be acknowledged. First, the Silhouette Score of 0.1610 for k=4 is relatively low on an absolute scale, suggesting that the clusters — while statistically distinct — exhibit non-trivial overlap in feature space. This is expected given the high dimensionality and categorical nature of many features. Second, the clustering solution is sensitive to feature engineering choices; alternative encoding schemes or feature selection methods may yield different segment structures. Third, the dataset is cross-sectional and does not capture buyer behaviour over time; temporal dynamics such as repeat purchases or segment migration are not modelled. Finally, class imbalance — with Corporate Buyers representing 40.7% of clients and Luxury Investors only 3.8% — may affect the stability of cluster boundaries, particularly for the smallest segment.</w:t>
      </w:r>
    </w:p>
    <w:p>
      <w:pPr>
        <w:pStyle w:val="Heading2"/>
        <w:spacing w:after="80" w:before="240"/>
      </w:pPr>
      <w:r>
        <w:rPr>
          <w:rFonts w:ascii="Arial" w:cs="Arial" w:eastAsia="Arial" w:hAnsi="Arial"/>
          <w:b/>
          <w:bCs/>
          <w:color w:val="2E75B6"/>
          <w:sz w:val="24"/>
          <w:szCs w:val="24"/>
        </w:rPr>
        <w:t xml:space="preserve">6.3 Future Work</w:t>
      </w:r>
    </w:p>
    <w:p>
      <w:pPr>
        <w:spacing w:after="120" w:before="0" w:line="360"/>
        <w:jc w:val="both"/>
      </w:pPr>
      <w:r>
        <w:rPr>
          <w:rFonts w:ascii="Arial" w:cs="Arial" w:eastAsia="Arial" w:hAnsi="Arial"/>
          <w:b w:val="false"/>
          <w:bCs w:val="false"/>
          <w:i w:val="false"/>
          <w:iCs w:val="false"/>
          <w:color w:val="222222"/>
          <w:sz w:val="22"/>
          <w:szCs w:val="22"/>
        </w:rPr>
        <w:t xml:space="preserve">Several extensions of this research are planned:</w:t>
      </w:r>
    </w:p>
    <w:p>
      <w:pPr>
        <w:pStyle w:val="ListParagraph"/>
        <w:numPr>
          <w:ilvl w:val="0"/>
          <w:numId w:val="2"/>
        </w:numPr>
        <w:spacing w:after="40" w:before="40" w:line="340"/>
      </w:pPr>
      <w:r>
        <w:rPr>
          <w:rFonts w:ascii="Arial" w:cs="Arial" w:eastAsia="Arial" w:hAnsi="Arial"/>
          <w:color w:val="222222"/>
          <w:sz w:val="22"/>
          <w:szCs w:val="22"/>
        </w:rPr>
        <w:t xml:space="preserve">Supervised learning validation: Using the cluster labels as ground truth, train a classification model (e.g., XGBoost) to identify segment membership from client data alone — enabling real-time segment assignment for new clients without re-running the full clustering pipeline.</w:t>
      </w:r>
    </w:p>
    <w:p>
      <w:pPr>
        <w:pStyle w:val="ListParagraph"/>
        <w:numPr>
          <w:ilvl w:val="0"/>
          <w:numId w:val="2"/>
        </w:numPr>
        <w:spacing w:after="40" w:before="40" w:line="340"/>
      </w:pPr>
      <w:r>
        <w:rPr>
          <w:rFonts w:ascii="Arial" w:cs="Arial" w:eastAsia="Arial" w:hAnsi="Arial"/>
          <w:color w:val="222222"/>
          <w:sz w:val="22"/>
          <w:szCs w:val="22"/>
        </w:rPr>
        <w:t xml:space="preserve">Temporal analysis: Incorporate transaction timestamps to model buyer lifecycle and segment migration, enabling churn prediction and re-engagement strategies.</w:t>
      </w:r>
    </w:p>
    <w:p>
      <w:pPr>
        <w:pStyle w:val="ListParagraph"/>
        <w:numPr>
          <w:ilvl w:val="0"/>
          <w:numId w:val="2"/>
        </w:numPr>
        <w:spacing w:after="40" w:before="40" w:line="340"/>
      </w:pPr>
      <w:r>
        <w:rPr>
          <w:rFonts w:ascii="Arial" w:cs="Arial" w:eastAsia="Arial" w:hAnsi="Arial"/>
          <w:color w:val="222222"/>
          <w:sz w:val="22"/>
          <w:szCs w:val="22"/>
        </w:rPr>
        <w:t xml:space="preserve">Natural Language Processing: Integrate text features from client notes and property descriptions using TF-IDF or sentence embeddings to enrich the feature space.</w:t>
      </w:r>
    </w:p>
    <w:p>
      <w:pPr>
        <w:pStyle w:val="ListParagraph"/>
        <w:numPr>
          <w:ilvl w:val="0"/>
          <w:numId w:val="2"/>
        </w:numPr>
        <w:spacing w:after="40" w:before="40" w:line="340"/>
      </w:pPr>
      <w:r>
        <w:rPr>
          <w:rFonts w:ascii="Arial" w:cs="Arial" w:eastAsia="Arial" w:hAnsi="Arial"/>
          <w:color w:val="222222"/>
          <w:sz w:val="22"/>
          <w:szCs w:val="22"/>
        </w:rPr>
        <w:t xml:space="preserve">Reinforcement Learning: Develop a recommendation engine that adapts property suggestions based on segment membership and individual client interaction history.</w:t>
      </w:r>
    </w:p>
    <w:p>
      <w:pPr>
        <w:pStyle w:val="ListParagraph"/>
        <w:numPr>
          <w:ilvl w:val="0"/>
          <w:numId w:val="2"/>
        </w:numPr>
        <w:spacing w:after="40" w:before="40" w:line="340"/>
      </w:pPr>
      <w:r>
        <w:rPr>
          <w:rFonts w:ascii="Arial" w:cs="Arial" w:eastAsia="Arial" w:hAnsi="Arial"/>
          <w:color w:val="222222"/>
          <w:sz w:val="22"/>
          <w:szCs w:val="22"/>
        </w:rPr>
        <w:t xml:space="preserve">Geographic Expansion: Apply the pipeline to regional sub-markets to identify location-specific buyer patterns that may differ from the global segmentation.</w:t>
      </w:r>
    </w:p>
    <w:p>
      <w:pPr>
        <w:pStyle w:val="Heading1"/>
        <w:pBdr>
          <w:bottom w:val="single" w:color="2E75B6" w:sz="4" w:space="4"/>
        </w:pBdr>
        <w:spacing w:after="120" w:before="360"/>
      </w:pPr>
      <w:r>
        <w:rPr>
          <w:rFonts w:ascii="Arial" w:cs="Arial" w:eastAsia="Arial" w:hAnsi="Arial"/>
          <w:b/>
          <w:bCs/>
          <w:color w:val="1E3A5F"/>
          <w:sz w:val="28"/>
          <w:szCs w:val="28"/>
        </w:rPr>
        <w:t xml:space="preserve">7. Conclusion</w:t>
      </w:r>
    </w:p>
    <w:p>
      <w:pPr>
        <w:spacing w:after="120" w:before="0" w:line="360"/>
        <w:jc w:val="both"/>
      </w:pPr>
      <w:r>
        <w:rPr>
          <w:rFonts w:ascii="Arial" w:cs="Arial" w:eastAsia="Arial" w:hAnsi="Arial"/>
          <w:b w:val="false"/>
          <w:bCs w:val="false"/>
          <w:i w:val="false"/>
          <w:iCs w:val="false"/>
          <w:color w:val="222222"/>
          <w:sz w:val="22"/>
          <w:szCs w:val="22"/>
        </w:rPr>
        <w:t xml:space="preserve">This paper has presented a complete machine learning pipeline for buyer segmentation and investment profiling in the real estate domain, applied to the Parcl Co. client and property dataset. Through systematic feature engineering, standardisation, and unsupervised clustering, we identified four statistically distinct buyer segments: Global Investors, First-Time Buyers, Corporate Buyers, and Luxury Investors. These segments differ meaningfully across investment purpose, financing behaviour, geographic distribution, and property value preferences, providing an actionable foundation for precision marketing and personalised product development.</w:t>
      </w:r>
    </w:p>
    <w:p>
      <w:pPr>
        <w:spacing w:after="120" w:before="0" w:line="360"/>
        <w:jc w:val="both"/>
      </w:pPr>
      <w:r>
        <w:rPr>
          <w:rFonts w:ascii="Arial" w:cs="Arial" w:eastAsia="Arial" w:hAnsi="Arial"/>
          <w:b w:val="false"/>
          <w:bCs w:val="false"/>
          <w:i w:val="false"/>
          <w:iCs w:val="false"/>
          <w:color w:val="222222"/>
          <w:sz w:val="22"/>
          <w:szCs w:val="22"/>
        </w:rPr>
        <w:t xml:space="preserve">The K-Means solution (k=4, Silhouette = 0.1610) was validated by the Elbow Method, Silhouette Score analysis, and Hierarchical Agglomerative Clustering with Ward linkage. PCA visualisation confirmed partial but meaningful geometric separation in the reduced feature space. The results are made accessible to non-technical stakeholders through an interactive Streamlit dashboard supporting real-time filtering by country, region, acquisition purpose, and client type.</w:t>
      </w:r>
    </w:p>
    <w:p>
      <w:pPr>
        <w:spacing w:after="120" w:before="0" w:line="360"/>
        <w:jc w:val="both"/>
      </w:pPr>
      <w:r>
        <w:rPr>
          <w:rFonts w:ascii="Arial" w:cs="Arial" w:eastAsia="Arial" w:hAnsi="Arial"/>
          <w:b w:val="false"/>
          <w:bCs w:val="false"/>
          <w:i w:val="false"/>
          <w:iCs w:val="false"/>
          <w:color w:val="222222"/>
          <w:sz w:val="22"/>
          <w:szCs w:val="22"/>
        </w:rPr>
        <w:t xml:space="preserve">This work demonstrates that AI-driven buyer intelligence can replace intuition-based targeting with evidence-based segmentation, enabling Parcl Co. to allocate marketing resources efficiently, develop segment-specific products, and ultimately drive data-informed real estate investment decisions at scale.</w:t>
      </w:r>
    </w:p>
    <w:p>
      <w:pPr>
        <w:pStyle w:val="Heading1"/>
        <w:pBdr>
          <w:bottom w:val="single" w:color="2E75B6" w:sz="4" w:space="4"/>
        </w:pBdr>
        <w:spacing w:after="120" w:before="360"/>
      </w:pPr>
      <w:r>
        <w:rPr>
          <w:rFonts w:ascii="Arial" w:cs="Arial" w:eastAsia="Arial" w:hAnsi="Arial"/>
          <w:b/>
          <w:bCs/>
          <w:color w:val="1E3A5F"/>
          <w:sz w:val="28"/>
          <w:szCs w:val="28"/>
        </w:rPr>
        <w:t xml:space="preserve">References</w:t>
      </w:r>
    </w:p>
    <w:p>
      <w:pPr>
        <w:spacing w:after="120" w:before="0" w:line="360"/>
        <w:jc w:val="both"/>
      </w:pPr>
      <w:r>
        <w:rPr>
          <w:rFonts w:ascii="Arial" w:cs="Arial" w:eastAsia="Arial" w:hAnsi="Arial"/>
          <w:b w:val="false"/>
          <w:bCs w:val="false"/>
          <w:i w:val="false"/>
          <w:iCs w:val="false"/>
          <w:color w:val="595959"/>
          <w:sz w:val="22"/>
          <w:szCs w:val="22"/>
        </w:rPr>
        <w:t xml:space="preserve">Antipov, E. A., &amp; Pokryshevskaya, E. B. (2012). Mass appraisal of residential apartments: An application of Random forest for valuation and a CART-based approach for model diagnostics. Expert Systems with Applications, 39(2), 1772–1778.</w:t>
      </w:r>
    </w:p>
    <w:p>
      <w:pPr>
        <w:spacing w:after="120" w:before="0" w:line="360"/>
        <w:jc w:val="both"/>
      </w:pPr>
      <w:r>
        <w:rPr>
          <w:rFonts w:ascii="Arial" w:cs="Arial" w:eastAsia="Arial" w:hAnsi="Arial"/>
          <w:b w:val="false"/>
          <w:bCs w:val="false"/>
          <w:i w:val="false"/>
          <w:iCs w:val="false"/>
          <w:color w:val="595959"/>
          <w:sz w:val="22"/>
          <w:szCs w:val="22"/>
        </w:rPr>
        <w:t xml:space="preserve">Dogan, O., Ayçin, E., &amp; Bulut, Z. A. (2020). Customer segmentation by using RFM model and clustering methods: a case study in retail industry. International Journal of Contemporary Economics and Administrative Sciences, 8(1), 1–19.</w:t>
      </w:r>
    </w:p>
    <w:p>
      <w:pPr>
        <w:spacing w:after="120" w:before="0" w:line="360"/>
        <w:jc w:val="both"/>
      </w:pPr>
      <w:r>
        <w:rPr>
          <w:rFonts w:ascii="Arial" w:cs="Arial" w:eastAsia="Arial" w:hAnsi="Arial"/>
          <w:b w:val="false"/>
          <w:bCs w:val="false"/>
          <w:i w:val="false"/>
          <w:iCs w:val="false"/>
          <w:color w:val="595959"/>
          <w:sz w:val="22"/>
          <w:szCs w:val="22"/>
        </w:rPr>
        <w:t xml:space="preserve">MacQueen, J. (1967). Some methods for classification and analysis of multivariate observations. Proceedings of the Fifth Berkeley Symposium on Mathematical Statistics and Probability, 1(14), 281–297.</w:t>
      </w:r>
    </w:p>
    <w:p>
      <w:pPr>
        <w:spacing w:after="120" w:before="0" w:line="360"/>
        <w:jc w:val="both"/>
      </w:pPr>
      <w:r>
        <w:rPr>
          <w:rFonts w:ascii="Arial" w:cs="Arial" w:eastAsia="Arial" w:hAnsi="Arial"/>
          <w:b w:val="false"/>
          <w:bCs w:val="false"/>
          <w:i w:val="false"/>
          <w:iCs w:val="false"/>
          <w:color w:val="595959"/>
          <w:sz w:val="22"/>
          <w:szCs w:val="22"/>
        </w:rPr>
        <w:t xml:space="preserve">Ngai, E. W. T., Xiu, L., &amp; Chau, D. C. K. (2009). Application of data mining techniques in customer relationship management: A literature review and classification. Expert Systems with Applications, 36(2), 2592–2602.</w:t>
      </w:r>
    </w:p>
    <w:p>
      <w:pPr>
        <w:spacing w:after="120" w:before="0" w:line="360"/>
        <w:jc w:val="both"/>
      </w:pPr>
      <w:r>
        <w:rPr>
          <w:rFonts w:ascii="Arial" w:cs="Arial" w:eastAsia="Arial" w:hAnsi="Arial"/>
          <w:b w:val="false"/>
          <w:bCs w:val="false"/>
          <w:i w:val="false"/>
          <w:iCs w:val="false"/>
          <w:color w:val="595959"/>
          <w:sz w:val="22"/>
          <w:szCs w:val="22"/>
        </w:rPr>
        <w:t xml:space="preserve">Verbeke, W., Martens, D., Mues, C., &amp; Baesens, B. (2012). Building comprehensible customer churn prediction models with advanced rule induction techniques. Expert Systems with Applications, 38(3), 2354–2364.</w:t>
      </w:r>
    </w:p>
    <w:p>
      <w:pPr>
        <w:spacing w:after="120" w:before="0" w:line="360"/>
        <w:jc w:val="both"/>
      </w:pPr>
      <w:r>
        <w:rPr>
          <w:rFonts w:ascii="Arial" w:cs="Arial" w:eastAsia="Arial" w:hAnsi="Arial"/>
          <w:b w:val="false"/>
          <w:bCs w:val="false"/>
          <w:i w:val="false"/>
          <w:iCs w:val="false"/>
          <w:color w:val="595959"/>
          <w:sz w:val="22"/>
          <w:szCs w:val="22"/>
        </w:rPr>
        <w:t xml:space="preserve">Wedel, M., &amp; Kamakura, W. A. (2000). Market Segmentation: Conceptual and Methodological Foundations (2nd ed.). Springer.</w:t>
      </w:r>
    </w:p>
    <w:p>
      <w:pPr>
        <w:spacing w:after="120" w:before="0" w:line="360"/>
        <w:jc w:val="both"/>
      </w:pPr>
      <w:r>
        <w:rPr>
          <w:rFonts w:ascii="Arial" w:cs="Arial" w:eastAsia="Arial" w:hAnsi="Arial"/>
          <w:b w:val="false"/>
          <w:bCs w:val="false"/>
          <w:i w:val="false"/>
          <w:iCs w:val="false"/>
          <w:color w:val="595959"/>
          <w:sz w:val="22"/>
          <w:szCs w:val="22"/>
        </w:rPr>
        <w:t xml:space="preserve">Ward, J. H. (1963). Hierarchical grouping to optimize an objective function. Journal of the American Statistical Association, 58(301), 236–244.</w:t>
      </w:r>
    </w:p>
    <w:p>
      <w:pPr>
        <w:spacing w:after="120" w:before="0" w:line="360"/>
        <w:jc w:val="both"/>
      </w:pPr>
      <w:r>
        <w:rPr>
          <w:rFonts w:ascii="Arial" w:cs="Arial" w:eastAsia="Arial" w:hAnsi="Arial"/>
          <w:b w:val="false"/>
          <w:bCs w:val="false"/>
          <w:i w:val="false"/>
          <w:iCs w:val="false"/>
          <w:color w:val="595959"/>
          <w:sz w:val="22"/>
          <w:szCs w:val="22"/>
        </w:rPr>
        <w:t xml:space="preserve">Rousseeuw, P. J. (1987). Silhouettes: A graphical aid to the interpretation and validation of cluster analysis. Journal of Computational and Applied Mathematics, 20, 53–65.</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60"/>
    </w:pPr>
    <w:r>
      <w:rPr>
        <w:rFonts w:ascii="Arial" w:cs="Arial" w:eastAsia="Arial" w:hAnsi="Arial"/>
        <w:color w:val="595959"/>
        <w:sz w:val="16"/>
        <w:szCs w:val="16"/>
      </w:rPr>
      <w:t xml:space="preserve">Unified Mentor × Parcl Co. Limited  |  Ansh Patel  |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60"/>
    </w:pPr>
    <w:r>
      <w:rPr>
        <w:rFonts w:ascii="Arial" w:cs="Arial" w:eastAsia="Arial" w:hAnsi="Arial"/>
        <w:color w:val="595959"/>
        <w:sz w:val="18"/>
        <w:szCs w:val="18"/>
      </w:rPr>
      <w:t xml:space="preserve">Real Estate ML · Buyer Segmentation Research Paper</w:t>
    </w:r>
    <w:r>
      <w:rPr>
        <w:rFonts w:ascii="Arial" w:cs="Arial" w:eastAsia="Arial" w:hAnsi="Arial"/>
        <w:color w:val="595959"/>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2026-05-06T05:07:17.584Z</dcterms:created>
  <dcterms:modified xsi:type="dcterms:W3CDTF">2026-05-06T05:07:17.584Z</dcterms:modified>
</cp:coreProperties>
</file>

<file path=docProps/custom.xml><?xml version="1.0" encoding="utf-8"?>
<Properties xmlns="http://schemas.openxmlformats.org/officeDocument/2006/custom-properties" xmlns:vt="http://schemas.openxmlformats.org/officeDocument/2006/docPropsVTypes"/>
</file>