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95A" w:rsidRPr="005759D8" w:rsidRDefault="00E5595A" w:rsidP="00E5595A">
      <w:pPr>
        <w:jc w:val="center"/>
        <w:rPr>
          <w:b/>
          <w:bCs/>
          <w:sz w:val="32"/>
          <w:szCs w:val="32"/>
          <w:lang w:val="en-US"/>
        </w:rPr>
      </w:pPr>
      <w:r w:rsidRPr="005759D8">
        <w:rPr>
          <w:b/>
          <w:bCs/>
          <w:sz w:val="32"/>
          <w:szCs w:val="32"/>
          <w:lang w:val="en-US"/>
        </w:rPr>
        <w:t>Assignment 5</w:t>
      </w:r>
    </w:p>
    <w:p w:rsidR="000318B4" w:rsidRPr="003157F6" w:rsidRDefault="00E5595A" w:rsidP="00E5595A">
      <w:pPr>
        <w:jc w:val="center"/>
        <w:rPr>
          <w:sz w:val="32"/>
          <w:szCs w:val="32"/>
          <w:u w:val="single"/>
          <w:lang w:val="en-US"/>
        </w:rPr>
      </w:pPr>
      <w:r w:rsidRPr="003157F6">
        <w:rPr>
          <w:sz w:val="32"/>
          <w:szCs w:val="32"/>
          <w:u w:val="single"/>
          <w:lang w:val="en-US"/>
        </w:rPr>
        <w:t>Empirical analysis of Linear Probing</w:t>
      </w:r>
    </w:p>
    <w:p w:rsidR="00E5595A" w:rsidRPr="005759D8" w:rsidRDefault="00E5595A" w:rsidP="005759D8">
      <w:pPr>
        <w:jc w:val="both"/>
        <w:rPr>
          <w:sz w:val="28"/>
          <w:szCs w:val="28"/>
          <w:lang w:val="en-US"/>
        </w:rPr>
      </w:pPr>
      <w:r w:rsidRPr="005759D8">
        <w:rPr>
          <w:sz w:val="28"/>
          <w:szCs w:val="28"/>
          <w:lang w:val="en-US"/>
        </w:rPr>
        <w:t>There are 3 types of searching algorithm:</w:t>
      </w:r>
    </w:p>
    <w:p w:rsidR="00E5595A" w:rsidRPr="005759D8" w:rsidRDefault="00E5595A" w:rsidP="005759D8">
      <w:pPr>
        <w:pStyle w:val="ListParagraph"/>
        <w:numPr>
          <w:ilvl w:val="0"/>
          <w:numId w:val="1"/>
        </w:numPr>
        <w:jc w:val="both"/>
        <w:rPr>
          <w:sz w:val="28"/>
          <w:szCs w:val="28"/>
          <w:lang w:val="en-US"/>
        </w:rPr>
      </w:pPr>
      <w:r w:rsidRPr="005759D8">
        <w:rPr>
          <w:sz w:val="28"/>
          <w:szCs w:val="28"/>
          <w:lang w:val="en-US"/>
        </w:rPr>
        <w:t>Linear Search</w:t>
      </w:r>
    </w:p>
    <w:p w:rsidR="00E5595A" w:rsidRPr="005759D8" w:rsidRDefault="00E5595A" w:rsidP="005759D8">
      <w:pPr>
        <w:pStyle w:val="ListParagraph"/>
        <w:numPr>
          <w:ilvl w:val="0"/>
          <w:numId w:val="1"/>
        </w:numPr>
        <w:jc w:val="both"/>
        <w:rPr>
          <w:sz w:val="28"/>
          <w:szCs w:val="28"/>
          <w:lang w:val="en-US"/>
        </w:rPr>
      </w:pPr>
      <w:r w:rsidRPr="005759D8">
        <w:rPr>
          <w:sz w:val="28"/>
          <w:szCs w:val="28"/>
          <w:lang w:val="en-US"/>
        </w:rPr>
        <w:t>Binary Search</w:t>
      </w:r>
    </w:p>
    <w:p w:rsidR="00E5595A" w:rsidRPr="005759D8" w:rsidRDefault="00E5595A" w:rsidP="005759D8">
      <w:pPr>
        <w:pStyle w:val="ListParagraph"/>
        <w:numPr>
          <w:ilvl w:val="0"/>
          <w:numId w:val="1"/>
        </w:numPr>
        <w:jc w:val="both"/>
        <w:rPr>
          <w:sz w:val="28"/>
          <w:szCs w:val="28"/>
          <w:lang w:val="en-US"/>
        </w:rPr>
      </w:pPr>
      <w:r w:rsidRPr="005759D8">
        <w:rPr>
          <w:sz w:val="28"/>
          <w:szCs w:val="28"/>
          <w:lang w:val="en-US"/>
        </w:rPr>
        <w:t>Hashing Search</w:t>
      </w:r>
    </w:p>
    <w:p w:rsidR="00E5595A" w:rsidRPr="005759D8" w:rsidRDefault="00E5595A" w:rsidP="005759D8">
      <w:pPr>
        <w:jc w:val="both"/>
        <w:rPr>
          <w:sz w:val="28"/>
          <w:szCs w:val="28"/>
          <w:lang w:val="en-US"/>
        </w:rPr>
      </w:pPr>
      <w:r w:rsidRPr="005759D8">
        <w:rPr>
          <w:sz w:val="28"/>
          <w:szCs w:val="28"/>
          <w:lang w:val="en-US"/>
        </w:rPr>
        <w:t>Time complexity of Linear search in worst case is O(n). While Binary Search has runtime complexity of O(</w:t>
      </w:r>
      <w:proofErr w:type="spellStart"/>
      <w:r w:rsidRPr="005759D8">
        <w:rPr>
          <w:sz w:val="28"/>
          <w:szCs w:val="28"/>
          <w:lang w:val="en-US"/>
        </w:rPr>
        <w:t>logn</w:t>
      </w:r>
      <w:proofErr w:type="spellEnd"/>
      <w:r w:rsidRPr="005759D8">
        <w:rPr>
          <w:sz w:val="28"/>
          <w:szCs w:val="28"/>
          <w:lang w:val="en-US"/>
        </w:rPr>
        <w:t>). Hashing Search algorithm takes constant time(O(1)) to search an element in an array.</w:t>
      </w:r>
    </w:p>
    <w:p w:rsidR="00E5595A" w:rsidRPr="005759D8" w:rsidRDefault="00E5595A" w:rsidP="005759D8">
      <w:pPr>
        <w:jc w:val="both"/>
        <w:rPr>
          <w:sz w:val="28"/>
          <w:szCs w:val="28"/>
          <w:lang w:val="en-US"/>
        </w:rPr>
      </w:pPr>
    </w:p>
    <w:p w:rsidR="004178F7" w:rsidRPr="005759D8" w:rsidRDefault="004178F7" w:rsidP="005759D8">
      <w:pPr>
        <w:jc w:val="both"/>
        <w:rPr>
          <w:sz w:val="28"/>
          <w:szCs w:val="28"/>
          <w:lang w:val="en-US"/>
        </w:rPr>
      </w:pPr>
      <w:r w:rsidRPr="005759D8">
        <w:rPr>
          <w:sz w:val="28"/>
          <w:szCs w:val="28"/>
          <w:lang w:val="en-US"/>
        </w:rPr>
        <w:t>Hashing search using linear probing calculates the index value using following function:</w:t>
      </w:r>
    </w:p>
    <w:p w:rsidR="004178F7" w:rsidRPr="005759D8" w:rsidRDefault="004178F7" w:rsidP="00F27E7B">
      <w:pPr>
        <w:jc w:val="center"/>
        <w:rPr>
          <w:b/>
          <w:bCs/>
          <w:i/>
          <w:iCs/>
          <w:sz w:val="28"/>
          <w:szCs w:val="28"/>
          <w:lang w:val="en-US"/>
        </w:rPr>
      </w:pPr>
      <w:r w:rsidRPr="005759D8">
        <w:rPr>
          <w:b/>
          <w:bCs/>
          <w:i/>
          <w:iCs/>
          <w:sz w:val="28"/>
          <w:szCs w:val="28"/>
          <w:lang w:val="en-US"/>
        </w:rPr>
        <w:t>HASH(X) = (</w:t>
      </w:r>
      <w:proofErr w:type="spellStart"/>
      <w:r w:rsidRPr="005759D8">
        <w:rPr>
          <w:b/>
          <w:bCs/>
          <w:i/>
          <w:iCs/>
          <w:sz w:val="28"/>
          <w:szCs w:val="28"/>
          <w:lang w:val="en-US"/>
        </w:rPr>
        <w:t>X+i</w:t>
      </w:r>
      <w:proofErr w:type="spellEnd"/>
      <w:r w:rsidRPr="005759D8">
        <w:rPr>
          <w:b/>
          <w:bCs/>
          <w:i/>
          <w:iCs/>
          <w:sz w:val="28"/>
          <w:szCs w:val="28"/>
          <w:lang w:val="en-US"/>
        </w:rPr>
        <w:t>)%TABLE_SIZE</w:t>
      </w:r>
    </w:p>
    <w:p w:rsidR="004178F7" w:rsidRPr="005759D8" w:rsidRDefault="004178F7" w:rsidP="005759D8">
      <w:pPr>
        <w:jc w:val="both"/>
        <w:rPr>
          <w:sz w:val="28"/>
          <w:szCs w:val="28"/>
          <w:lang w:val="en-US"/>
        </w:rPr>
      </w:pPr>
      <w:r w:rsidRPr="005759D8">
        <w:rPr>
          <w:sz w:val="28"/>
          <w:szCs w:val="28"/>
          <w:lang w:val="en-US"/>
        </w:rPr>
        <w:t xml:space="preserve">In case of collision,  </w:t>
      </w:r>
      <w:proofErr w:type="spellStart"/>
      <w:r w:rsidRPr="005759D8">
        <w:rPr>
          <w:sz w:val="28"/>
          <w:szCs w:val="28"/>
          <w:lang w:val="en-US"/>
        </w:rPr>
        <w:t>i</w:t>
      </w:r>
      <w:proofErr w:type="spellEnd"/>
      <w:r w:rsidRPr="005759D8">
        <w:rPr>
          <w:sz w:val="28"/>
          <w:szCs w:val="28"/>
          <w:lang w:val="en-US"/>
        </w:rPr>
        <w:t xml:space="preserve"> is incremented </w:t>
      </w:r>
      <w:proofErr w:type="spellStart"/>
      <w:r w:rsidRPr="005759D8">
        <w:rPr>
          <w:sz w:val="28"/>
          <w:szCs w:val="28"/>
          <w:lang w:val="en-US"/>
        </w:rPr>
        <w:t>evertytime</w:t>
      </w:r>
      <w:proofErr w:type="spellEnd"/>
      <w:r w:rsidRPr="005759D8">
        <w:rPr>
          <w:sz w:val="28"/>
          <w:szCs w:val="28"/>
          <w:lang w:val="en-US"/>
        </w:rPr>
        <w:t>.</w:t>
      </w:r>
    </w:p>
    <w:p w:rsidR="004178F7" w:rsidRPr="005759D8" w:rsidRDefault="004178F7" w:rsidP="005759D8">
      <w:pPr>
        <w:jc w:val="both"/>
        <w:rPr>
          <w:sz w:val="28"/>
          <w:szCs w:val="28"/>
          <w:lang w:val="en-US"/>
        </w:rPr>
      </w:pPr>
    </w:p>
    <w:p w:rsidR="00E5595A" w:rsidRPr="005759D8" w:rsidRDefault="00E5595A" w:rsidP="005759D8">
      <w:pPr>
        <w:jc w:val="both"/>
        <w:rPr>
          <w:sz w:val="28"/>
          <w:szCs w:val="28"/>
          <w:lang w:val="en-US"/>
        </w:rPr>
      </w:pPr>
      <w:r w:rsidRPr="005759D8">
        <w:rPr>
          <w:sz w:val="28"/>
          <w:szCs w:val="28"/>
          <w:lang w:val="en-US"/>
        </w:rPr>
        <w:t>Empirical analysis of Hashing Search algorithm using linear probing technique is as follow:</w:t>
      </w:r>
    </w:p>
    <w:p w:rsidR="004178F7" w:rsidRPr="005759D8" w:rsidRDefault="00E5595A" w:rsidP="005759D8">
      <w:pPr>
        <w:jc w:val="both"/>
        <w:rPr>
          <w:sz w:val="28"/>
          <w:szCs w:val="28"/>
          <w:lang w:val="en-US"/>
        </w:rPr>
      </w:pPr>
      <w:r w:rsidRPr="005759D8">
        <w:rPr>
          <w:sz w:val="28"/>
          <w:szCs w:val="28"/>
          <w:lang w:val="en-US"/>
        </w:rPr>
        <w:t xml:space="preserve">To find efficient performance of hashing search using linear probing, Average no of searching is calculated for different load factor. </w:t>
      </w:r>
      <w:r w:rsidR="004178F7" w:rsidRPr="005759D8">
        <w:rPr>
          <w:sz w:val="28"/>
          <w:szCs w:val="28"/>
          <w:lang w:val="en-US"/>
        </w:rPr>
        <w:t xml:space="preserve">It is shown in below table: </w:t>
      </w:r>
    </w:p>
    <w:p w:rsidR="004178F7" w:rsidRDefault="004178F7" w:rsidP="005759D8">
      <w:pPr>
        <w:jc w:val="both"/>
        <w:rPr>
          <w:lang w:val="en-US"/>
        </w:rPr>
      </w:pPr>
    </w:p>
    <w:tbl>
      <w:tblPr>
        <w:tblW w:w="8379" w:type="dxa"/>
        <w:jc w:val="center"/>
        <w:tblLook w:val="04A0" w:firstRow="1" w:lastRow="0" w:firstColumn="1" w:lastColumn="0" w:noHBand="0" w:noVBand="1"/>
      </w:tblPr>
      <w:tblGrid>
        <w:gridCol w:w="523"/>
        <w:gridCol w:w="646"/>
        <w:gridCol w:w="642"/>
        <w:gridCol w:w="642"/>
        <w:gridCol w:w="642"/>
        <w:gridCol w:w="642"/>
        <w:gridCol w:w="642"/>
        <w:gridCol w:w="717"/>
        <w:gridCol w:w="642"/>
        <w:gridCol w:w="642"/>
        <w:gridCol w:w="642"/>
        <w:gridCol w:w="642"/>
        <w:gridCol w:w="1142"/>
      </w:tblGrid>
      <w:tr w:rsidR="004178F7" w:rsidRPr="004178F7" w:rsidTr="005759D8">
        <w:trPr>
          <w:trHeight w:val="374"/>
          <w:jc w:val="center"/>
        </w:trPr>
        <w:tc>
          <w:tcPr>
            <w:tcW w:w="8379" w:type="dxa"/>
            <w:gridSpan w:val="13"/>
            <w:vMerge w:val="restart"/>
            <w:tcBorders>
              <w:top w:val="nil"/>
              <w:left w:val="nil"/>
              <w:bottom w:val="nil"/>
              <w:right w:val="nil"/>
            </w:tcBorders>
            <w:shd w:val="clear" w:color="000000" w:fill="FFC000"/>
            <w:noWrap/>
            <w:vAlign w:val="center"/>
            <w:hideMark/>
          </w:tcPr>
          <w:p w:rsidR="004178F7" w:rsidRPr="004178F7" w:rsidRDefault="004178F7" w:rsidP="005759D8">
            <w:pPr>
              <w:jc w:val="center"/>
              <w:rPr>
                <w:rFonts w:ascii="Calibri" w:eastAsia="Times New Roman" w:hAnsi="Calibri" w:cs="Calibri"/>
                <w:b/>
                <w:bCs/>
                <w:color w:val="000000"/>
                <w:sz w:val="28"/>
                <w:szCs w:val="28"/>
              </w:rPr>
            </w:pPr>
            <w:r w:rsidRPr="004178F7">
              <w:rPr>
                <w:rFonts w:ascii="Calibri" w:eastAsia="Times New Roman" w:hAnsi="Calibri" w:cs="Calibri"/>
                <w:b/>
                <w:bCs/>
                <w:color w:val="000000"/>
                <w:sz w:val="28"/>
                <w:szCs w:val="28"/>
              </w:rPr>
              <w:t>Average search time to find element in hash table</w:t>
            </w:r>
          </w:p>
        </w:tc>
      </w:tr>
      <w:tr w:rsidR="004178F7" w:rsidRPr="004178F7" w:rsidTr="005759D8">
        <w:trPr>
          <w:trHeight w:val="349"/>
          <w:jc w:val="center"/>
        </w:trPr>
        <w:tc>
          <w:tcPr>
            <w:tcW w:w="8379" w:type="dxa"/>
            <w:gridSpan w:val="13"/>
            <w:vMerge/>
            <w:tcBorders>
              <w:top w:val="nil"/>
              <w:left w:val="nil"/>
              <w:bottom w:val="nil"/>
              <w:right w:val="nil"/>
            </w:tcBorders>
            <w:vAlign w:val="center"/>
            <w:hideMark/>
          </w:tcPr>
          <w:p w:rsidR="004178F7" w:rsidRPr="004178F7" w:rsidRDefault="004178F7" w:rsidP="005759D8">
            <w:pPr>
              <w:jc w:val="both"/>
              <w:rPr>
                <w:rFonts w:ascii="Calibri" w:eastAsia="Times New Roman" w:hAnsi="Calibri" w:cs="Calibri"/>
                <w:b/>
                <w:bCs/>
                <w:color w:val="000000"/>
                <w:sz w:val="28"/>
                <w:szCs w:val="28"/>
              </w:rPr>
            </w:pPr>
          </w:p>
        </w:tc>
      </w:tr>
      <w:tr w:rsidR="004178F7" w:rsidRPr="004178F7" w:rsidTr="005759D8">
        <w:trPr>
          <w:trHeight w:val="349"/>
          <w:jc w:val="center"/>
        </w:trPr>
        <w:tc>
          <w:tcPr>
            <w:tcW w:w="45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sz w:val="28"/>
                <w:szCs w:val="28"/>
              </w:rPr>
            </w:pPr>
          </w:p>
        </w:tc>
        <w:tc>
          <w:tcPr>
            <w:tcW w:w="7926" w:type="dxa"/>
            <w:gridSpan w:val="12"/>
            <w:tcBorders>
              <w:top w:val="nil"/>
              <w:left w:val="nil"/>
              <w:bottom w:val="nil"/>
              <w:right w:val="nil"/>
            </w:tcBorders>
            <w:shd w:val="clear" w:color="auto" w:fill="auto"/>
            <w:noWrap/>
            <w:vAlign w:val="center"/>
            <w:hideMark/>
          </w:tcPr>
          <w:p w:rsidR="004178F7" w:rsidRPr="004178F7" w:rsidRDefault="004178F7" w:rsidP="005759D8">
            <w:pPr>
              <w:jc w:val="center"/>
              <w:rPr>
                <w:rFonts w:ascii="Calibri" w:eastAsia="Times New Roman" w:hAnsi="Calibri" w:cs="Calibri"/>
                <w:b/>
                <w:bCs/>
                <w:color w:val="000000"/>
              </w:rPr>
            </w:pPr>
            <w:r w:rsidRPr="004178F7">
              <w:rPr>
                <w:rFonts w:ascii="Calibri" w:eastAsia="Times New Roman" w:hAnsi="Calibri" w:cs="Calibri"/>
                <w:b/>
                <w:bCs/>
                <w:color w:val="000000"/>
              </w:rPr>
              <w:t>Array size</w:t>
            </w:r>
          </w:p>
        </w:tc>
      </w:tr>
      <w:tr w:rsidR="005759D8" w:rsidRPr="004178F7" w:rsidTr="005759D8">
        <w:trPr>
          <w:trHeight w:val="349"/>
          <w:jc w:val="center"/>
        </w:trPr>
        <w:tc>
          <w:tcPr>
            <w:tcW w:w="45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p>
        </w:tc>
        <w:tc>
          <w:tcPr>
            <w:tcW w:w="619"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15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25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35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45</w:t>
            </w:r>
          </w:p>
        </w:tc>
        <w:tc>
          <w:tcPr>
            <w:tcW w:w="61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55</w:t>
            </w:r>
          </w:p>
        </w:tc>
        <w:tc>
          <w:tcPr>
            <w:tcW w:w="714"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65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75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85</w:t>
            </w:r>
          </w:p>
        </w:tc>
        <w:tc>
          <w:tcPr>
            <w:tcW w:w="53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95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105</w:t>
            </w:r>
          </w:p>
        </w:tc>
        <w:tc>
          <w:tcPr>
            <w:tcW w:w="1142"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Average</w:t>
            </w:r>
          </w:p>
        </w:tc>
      </w:tr>
      <w:tr w:rsidR="005759D8" w:rsidRPr="004178F7" w:rsidTr="005759D8">
        <w:trPr>
          <w:trHeight w:val="349"/>
          <w:jc w:val="center"/>
        </w:trPr>
        <w:tc>
          <w:tcPr>
            <w:tcW w:w="453" w:type="dxa"/>
            <w:vMerge w:val="restart"/>
            <w:tcBorders>
              <w:top w:val="nil"/>
              <w:left w:val="nil"/>
              <w:bottom w:val="nil"/>
              <w:right w:val="nil"/>
            </w:tcBorders>
            <w:shd w:val="clear" w:color="auto" w:fill="auto"/>
            <w:noWrap/>
            <w:textDirection w:val="btLr"/>
            <w:vAlign w:val="center"/>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Load factor</w:t>
            </w:r>
          </w:p>
        </w:tc>
        <w:tc>
          <w:tcPr>
            <w:tcW w:w="619"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0.6</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1.46</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1.76</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1.37</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1.48</w:t>
            </w:r>
          </w:p>
        </w:tc>
        <w:tc>
          <w:tcPr>
            <w:tcW w:w="61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1.56</w:t>
            </w:r>
          </w:p>
        </w:tc>
        <w:tc>
          <w:tcPr>
            <w:tcW w:w="714"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1.33</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1.46</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1.61</w:t>
            </w:r>
          </w:p>
        </w:tc>
        <w:tc>
          <w:tcPr>
            <w:tcW w:w="53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1.62</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1.82</w:t>
            </w:r>
          </w:p>
        </w:tc>
        <w:tc>
          <w:tcPr>
            <w:tcW w:w="1142"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1.547</w:t>
            </w:r>
          </w:p>
        </w:tc>
      </w:tr>
      <w:tr w:rsidR="005759D8" w:rsidRPr="004178F7" w:rsidTr="005759D8">
        <w:trPr>
          <w:trHeight w:val="349"/>
          <w:jc w:val="center"/>
        </w:trPr>
        <w:tc>
          <w:tcPr>
            <w:tcW w:w="453" w:type="dxa"/>
            <w:vMerge/>
            <w:tcBorders>
              <w:top w:val="nil"/>
              <w:left w:val="nil"/>
              <w:bottom w:val="nil"/>
              <w:right w:val="nil"/>
            </w:tcBorders>
            <w:vAlign w:val="center"/>
            <w:hideMark/>
          </w:tcPr>
          <w:p w:rsidR="004178F7" w:rsidRPr="004178F7" w:rsidRDefault="004178F7" w:rsidP="005759D8">
            <w:pPr>
              <w:jc w:val="both"/>
              <w:rPr>
                <w:rFonts w:ascii="Calibri" w:eastAsia="Times New Roman" w:hAnsi="Calibri" w:cs="Calibri"/>
                <w:b/>
                <w:bCs/>
                <w:color w:val="000000"/>
              </w:rPr>
            </w:pPr>
          </w:p>
        </w:tc>
        <w:tc>
          <w:tcPr>
            <w:tcW w:w="619"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0.65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1.46</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1.2</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1.6</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1.42</w:t>
            </w:r>
          </w:p>
        </w:tc>
        <w:tc>
          <w:tcPr>
            <w:tcW w:w="61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1.8</w:t>
            </w:r>
          </w:p>
        </w:tc>
        <w:tc>
          <w:tcPr>
            <w:tcW w:w="714"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1.53</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1.81</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1.92</w:t>
            </w:r>
          </w:p>
        </w:tc>
        <w:tc>
          <w:tcPr>
            <w:tcW w:w="53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1.9</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1.81</w:t>
            </w:r>
          </w:p>
        </w:tc>
        <w:tc>
          <w:tcPr>
            <w:tcW w:w="1142"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1.645</w:t>
            </w:r>
          </w:p>
        </w:tc>
      </w:tr>
      <w:tr w:rsidR="005759D8" w:rsidRPr="004178F7" w:rsidTr="005759D8">
        <w:trPr>
          <w:trHeight w:val="349"/>
          <w:jc w:val="center"/>
        </w:trPr>
        <w:tc>
          <w:tcPr>
            <w:tcW w:w="453" w:type="dxa"/>
            <w:vMerge/>
            <w:tcBorders>
              <w:top w:val="nil"/>
              <w:left w:val="nil"/>
              <w:bottom w:val="nil"/>
              <w:right w:val="nil"/>
            </w:tcBorders>
            <w:vAlign w:val="center"/>
            <w:hideMark/>
          </w:tcPr>
          <w:p w:rsidR="004178F7" w:rsidRPr="004178F7" w:rsidRDefault="004178F7" w:rsidP="005759D8">
            <w:pPr>
              <w:jc w:val="both"/>
              <w:rPr>
                <w:rFonts w:ascii="Calibri" w:eastAsia="Times New Roman" w:hAnsi="Calibri" w:cs="Calibri"/>
                <w:b/>
                <w:bCs/>
                <w:color w:val="000000"/>
              </w:rPr>
            </w:pPr>
          </w:p>
        </w:tc>
        <w:tc>
          <w:tcPr>
            <w:tcW w:w="619"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0.7</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2.46</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1.68</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1.62</w:t>
            </w:r>
          </w:p>
        </w:tc>
        <w:tc>
          <w:tcPr>
            <w:tcW w:w="613" w:type="dxa"/>
            <w:tcBorders>
              <w:top w:val="nil"/>
              <w:left w:val="nil"/>
              <w:bottom w:val="nil"/>
              <w:right w:val="nil"/>
            </w:tcBorders>
            <w:shd w:val="clear" w:color="000000" w:fill="A9D08E"/>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1.66</w:t>
            </w:r>
          </w:p>
        </w:tc>
        <w:tc>
          <w:tcPr>
            <w:tcW w:w="61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1.89</w:t>
            </w:r>
          </w:p>
        </w:tc>
        <w:tc>
          <w:tcPr>
            <w:tcW w:w="714"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2.01</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2.37</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2.6</w:t>
            </w:r>
          </w:p>
        </w:tc>
        <w:tc>
          <w:tcPr>
            <w:tcW w:w="53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1.97</w:t>
            </w:r>
          </w:p>
        </w:tc>
        <w:tc>
          <w:tcPr>
            <w:tcW w:w="613" w:type="dxa"/>
            <w:tcBorders>
              <w:top w:val="nil"/>
              <w:left w:val="nil"/>
              <w:bottom w:val="nil"/>
              <w:right w:val="nil"/>
            </w:tcBorders>
            <w:shd w:val="clear" w:color="000000" w:fill="A9D08E"/>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1.72</w:t>
            </w:r>
          </w:p>
        </w:tc>
        <w:tc>
          <w:tcPr>
            <w:tcW w:w="1142"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1.998</w:t>
            </w:r>
          </w:p>
        </w:tc>
      </w:tr>
      <w:tr w:rsidR="005759D8" w:rsidRPr="004178F7" w:rsidTr="005759D8">
        <w:trPr>
          <w:trHeight w:val="349"/>
          <w:jc w:val="center"/>
        </w:trPr>
        <w:tc>
          <w:tcPr>
            <w:tcW w:w="453" w:type="dxa"/>
            <w:vMerge/>
            <w:tcBorders>
              <w:top w:val="nil"/>
              <w:left w:val="nil"/>
              <w:bottom w:val="nil"/>
              <w:right w:val="nil"/>
            </w:tcBorders>
            <w:vAlign w:val="center"/>
            <w:hideMark/>
          </w:tcPr>
          <w:p w:rsidR="004178F7" w:rsidRPr="004178F7" w:rsidRDefault="004178F7" w:rsidP="005759D8">
            <w:pPr>
              <w:jc w:val="both"/>
              <w:rPr>
                <w:rFonts w:ascii="Calibri" w:eastAsia="Times New Roman" w:hAnsi="Calibri" w:cs="Calibri"/>
                <w:b/>
                <w:bCs/>
                <w:color w:val="000000"/>
              </w:rPr>
            </w:pPr>
          </w:p>
        </w:tc>
        <w:tc>
          <w:tcPr>
            <w:tcW w:w="619"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0.75</w:t>
            </w:r>
          </w:p>
        </w:tc>
        <w:tc>
          <w:tcPr>
            <w:tcW w:w="613" w:type="dxa"/>
            <w:tcBorders>
              <w:top w:val="nil"/>
              <w:left w:val="nil"/>
              <w:bottom w:val="nil"/>
              <w:right w:val="nil"/>
            </w:tcBorders>
            <w:shd w:val="clear" w:color="000000" w:fill="A9D08E"/>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2.13</w:t>
            </w:r>
          </w:p>
        </w:tc>
        <w:tc>
          <w:tcPr>
            <w:tcW w:w="613" w:type="dxa"/>
            <w:tcBorders>
              <w:top w:val="nil"/>
              <w:left w:val="nil"/>
              <w:bottom w:val="nil"/>
              <w:right w:val="nil"/>
            </w:tcBorders>
            <w:shd w:val="clear" w:color="000000" w:fill="A9D08E"/>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1.6</w:t>
            </w:r>
          </w:p>
        </w:tc>
        <w:tc>
          <w:tcPr>
            <w:tcW w:w="613" w:type="dxa"/>
            <w:tcBorders>
              <w:top w:val="nil"/>
              <w:left w:val="nil"/>
              <w:bottom w:val="nil"/>
              <w:right w:val="nil"/>
            </w:tcBorders>
            <w:shd w:val="clear" w:color="000000" w:fill="A9D08E"/>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1.54</w:t>
            </w:r>
          </w:p>
        </w:tc>
        <w:tc>
          <w:tcPr>
            <w:tcW w:w="613" w:type="dxa"/>
            <w:tcBorders>
              <w:top w:val="nil"/>
              <w:left w:val="nil"/>
              <w:bottom w:val="nil"/>
              <w:right w:val="nil"/>
            </w:tcBorders>
            <w:shd w:val="clear" w:color="000000" w:fill="FFFFFF"/>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1.66</w:t>
            </w:r>
          </w:p>
        </w:tc>
        <w:tc>
          <w:tcPr>
            <w:tcW w:w="616" w:type="dxa"/>
            <w:tcBorders>
              <w:top w:val="nil"/>
              <w:left w:val="nil"/>
              <w:bottom w:val="nil"/>
              <w:right w:val="nil"/>
            </w:tcBorders>
            <w:shd w:val="clear" w:color="000000" w:fill="A9D08E"/>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1.63</w:t>
            </w:r>
          </w:p>
        </w:tc>
        <w:tc>
          <w:tcPr>
            <w:tcW w:w="714" w:type="dxa"/>
            <w:tcBorders>
              <w:top w:val="nil"/>
              <w:left w:val="nil"/>
              <w:bottom w:val="nil"/>
              <w:right w:val="nil"/>
            </w:tcBorders>
            <w:shd w:val="clear" w:color="000000" w:fill="A9D08E"/>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1.63</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3.02</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1.97</w:t>
            </w:r>
          </w:p>
        </w:tc>
        <w:tc>
          <w:tcPr>
            <w:tcW w:w="536" w:type="dxa"/>
            <w:tcBorders>
              <w:top w:val="nil"/>
              <w:left w:val="nil"/>
              <w:bottom w:val="nil"/>
              <w:right w:val="nil"/>
            </w:tcBorders>
            <w:shd w:val="clear" w:color="000000" w:fill="A9D08E"/>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1.68</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w:t>
            </w:r>
          </w:p>
        </w:tc>
        <w:tc>
          <w:tcPr>
            <w:tcW w:w="1142"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1.886</w:t>
            </w:r>
          </w:p>
        </w:tc>
      </w:tr>
      <w:tr w:rsidR="005759D8" w:rsidRPr="004178F7" w:rsidTr="005759D8">
        <w:trPr>
          <w:trHeight w:val="349"/>
          <w:jc w:val="center"/>
        </w:trPr>
        <w:tc>
          <w:tcPr>
            <w:tcW w:w="453" w:type="dxa"/>
            <w:vMerge/>
            <w:tcBorders>
              <w:top w:val="nil"/>
              <w:left w:val="nil"/>
              <w:bottom w:val="nil"/>
              <w:right w:val="nil"/>
            </w:tcBorders>
            <w:vAlign w:val="center"/>
            <w:hideMark/>
          </w:tcPr>
          <w:p w:rsidR="004178F7" w:rsidRPr="004178F7" w:rsidRDefault="004178F7" w:rsidP="005759D8">
            <w:pPr>
              <w:jc w:val="both"/>
              <w:rPr>
                <w:rFonts w:ascii="Calibri" w:eastAsia="Times New Roman" w:hAnsi="Calibri" w:cs="Calibri"/>
                <w:b/>
                <w:bCs/>
                <w:color w:val="000000"/>
              </w:rPr>
            </w:pPr>
          </w:p>
        </w:tc>
        <w:tc>
          <w:tcPr>
            <w:tcW w:w="619"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0.8</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2.53</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1.96</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2.45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2.31</w:t>
            </w:r>
          </w:p>
        </w:tc>
        <w:tc>
          <w:tcPr>
            <w:tcW w:w="61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1.8</w:t>
            </w:r>
          </w:p>
        </w:tc>
        <w:tc>
          <w:tcPr>
            <w:tcW w:w="714"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1.95</w:t>
            </w:r>
          </w:p>
        </w:tc>
        <w:tc>
          <w:tcPr>
            <w:tcW w:w="613" w:type="dxa"/>
            <w:tcBorders>
              <w:top w:val="nil"/>
              <w:left w:val="nil"/>
              <w:bottom w:val="nil"/>
              <w:right w:val="nil"/>
            </w:tcBorders>
            <w:shd w:val="clear" w:color="000000" w:fill="A9D08E"/>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2.49</w:t>
            </w:r>
          </w:p>
        </w:tc>
        <w:tc>
          <w:tcPr>
            <w:tcW w:w="613" w:type="dxa"/>
            <w:tcBorders>
              <w:top w:val="nil"/>
              <w:left w:val="nil"/>
              <w:bottom w:val="nil"/>
              <w:right w:val="nil"/>
            </w:tcBorders>
            <w:shd w:val="clear" w:color="000000" w:fill="A9D08E"/>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1.83</w:t>
            </w:r>
          </w:p>
        </w:tc>
        <w:tc>
          <w:tcPr>
            <w:tcW w:w="53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2.48</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2.03</w:t>
            </w:r>
          </w:p>
        </w:tc>
        <w:tc>
          <w:tcPr>
            <w:tcW w:w="1142"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2.183</w:t>
            </w:r>
          </w:p>
        </w:tc>
      </w:tr>
      <w:tr w:rsidR="005759D8" w:rsidRPr="004178F7" w:rsidTr="005759D8">
        <w:trPr>
          <w:trHeight w:val="349"/>
          <w:jc w:val="center"/>
        </w:trPr>
        <w:tc>
          <w:tcPr>
            <w:tcW w:w="453" w:type="dxa"/>
            <w:vMerge/>
            <w:tcBorders>
              <w:top w:val="nil"/>
              <w:left w:val="nil"/>
              <w:bottom w:val="nil"/>
              <w:right w:val="nil"/>
            </w:tcBorders>
            <w:vAlign w:val="center"/>
            <w:hideMark/>
          </w:tcPr>
          <w:p w:rsidR="004178F7" w:rsidRPr="004178F7" w:rsidRDefault="004178F7" w:rsidP="005759D8">
            <w:pPr>
              <w:jc w:val="both"/>
              <w:rPr>
                <w:rFonts w:ascii="Calibri" w:eastAsia="Times New Roman" w:hAnsi="Calibri" w:cs="Calibri"/>
                <w:b/>
                <w:bCs/>
                <w:color w:val="000000"/>
              </w:rPr>
            </w:pPr>
          </w:p>
        </w:tc>
        <w:tc>
          <w:tcPr>
            <w:tcW w:w="619"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0.85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2.2</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2.92</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2.48</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1.91</w:t>
            </w:r>
          </w:p>
        </w:tc>
        <w:tc>
          <w:tcPr>
            <w:tcW w:w="61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2.43</w:t>
            </w:r>
          </w:p>
        </w:tc>
        <w:tc>
          <w:tcPr>
            <w:tcW w:w="714"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3.55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3.5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2.51</w:t>
            </w:r>
          </w:p>
        </w:tc>
        <w:tc>
          <w:tcPr>
            <w:tcW w:w="53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2.33</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2.78</w:t>
            </w:r>
          </w:p>
        </w:tc>
        <w:tc>
          <w:tcPr>
            <w:tcW w:w="1142"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2.661</w:t>
            </w:r>
          </w:p>
        </w:tc>
      </w:tr>
      <w:tr w:rsidR="005759D8" w:rsidRPr="004178F7" w:rsidTr="005759D8">
        <w:trPr>
          <w:trHeight w:val="349"/>
          <w:jc w:val="center"/>
        </w:trPr>
        <w:tc>
          <w:tcPr>
            <w:tcW w:w="453" w:type="dxa"/>
            <w:vMerge/>
            <w:tcBorders>
              <w:top w:val="nil"/>
              <w:left w:val="nil"/>
              <w:bottom w:val="nil"/>
              <w:right w:val="nil"/>
            </w:tcBorders>
            <w:vAlign w:val="center"/>
            <w:hideMark/>
          </w:tcPr>
          <w:p w:rsidR="004178F7" w:rsidRPr="004178F7" w:rsidRDefault="004178F7" w:rsidP="005759D8">
            <w:pPr>
              <w:jc w:val="both"/>
              <w:rPr>
                <w:rFonts w:ascii="Calibri" w:eastAsia="Times New Roman" w:hAnsi="Calibri" w:cs="Calibri"/>
                <w:b/>
                <w:bCs/>
                <w:color w:val="000000"/>
              </w:rPr>
            </w:pPr>
          </w:p>
        </w:tc>
        <w:tc>
          <w:tcPr>
            <w:tcW w:w="619"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0.9</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2.6</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3.6</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2.85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3.4</w:t>
            </w:r>
          </w:p>
        </w:tc>
        <w:tc>
          <w:tcPr>
            <w:tcW w:w="61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3.72</w:t>
            </w:r>
          </w:p>
        </w:tc>
        <w:tc>
          <w:tcPr>
            <w:tcW w:w="714"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2.8</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6.16</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3.71</w:t>
            </w:r>
          </w:p>
        </w:tc>
        <w:tc>
          <w:tcPr>
            <w:tcW w:w="53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2.87</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3.11</w:t>
            </w:r>
          </w:p>
        </w:tc>
        <w:tc>
          <w:tcPr>
            <w:tcW w:w="1142"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3.482</w:t>
            </w:r>
          </w:p>
        </w:tc>
      </w:tr>
      <w:tr w:rsidR="005759D8" w:rsidRPr="004178F7" w:rsidTr="005759D8">
        <w:trPr>
          <w:trHeight w:val="349"/>
          <w:jc w:val="center"/>
        </w:trPr>
        <w:tc>
          <w:tcPr>
            <w:tcW w:w="453" w:type="dxa"/>
            <w:vMerge/>
            <w:tcBorders>
              <w:top w:val="nil"/>
              <w:left w:val="nil"/>
              <w:bottom w:val="nil"/>
              <w:right w:val="nil"/>
            </w:tcBorders>
            <w:vAlign w:val="center"/>
            <w:hideMark/>
          </w:tcPr>
          <w:p w:rsidR="004178F7" w:rsidRPr="004178F7" w:rsidRDefault="004178F7" w:rsidP="005759D8">
            <w:pPr>
              <w:jc w:val="both"/>
              <w:rPr>
                <w:rFonts w:ascii="Calibri" w:eastAsia="Times New Roman" w:hAnsi="Calibri" w:cs="Calibri"/>
                <w:b/>
                <w:bCs/>
                <w:color w:val="000000"/>
              </w:rPr>
            </w:pPr>
          </w:p>
        </w:tc>
        <w:tc>
          <w:tcPr>
            <w:tcW w:w="619"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0.95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3.93</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3.2</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5.54</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2.51</w:t>
            </w:r>
          </w:p>
        </w:tc>
        <w:tc>
          <w:tcPr>
            <w:tcW w:w="61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4.96</w:t>
            </w:r>
          </w:p>
        </w:tc>
        <w:tc>
          <w:tcPr>
            <w:tcW w:w="714"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2.63</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7.05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5.25</w:t>
            </w:r>
          </w:p>
        </w:tc>
        <w:tc>
          <w:tcPr>
            <w:tcW w:w="53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2.45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5.03</w:t>
            </w:r>
          </w:p>
        </w:tc>
        <w:tc>
          <w:tcPr>
            <w:tcW w:w="1142"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4.255</w:t>
            </w:r>
          </w:p>
        </w:tc>
      </w:tr>
      <w:tr w:rsidR="005759D8" w:rsidRPr="004178F7" w:rsidTr="005759D8">
        <w:trPr>
          <w:trHeight w:val="349"/>
          <w:jc w:val="center"/>
        </w:trPr>
        <w:tc>
          <w:tcPr>
            <w:tcW w:w="453" w:type="dxa"/>
            <w:vMerge/>
            <w:tcBorders>
              <w:top w:val="nil"/>
              <w:left w:val="nil"/>
              <w:bottom w:val="nil"/>
              <w:right w:val="nil"/>
            </w:tcBorders>
            <w:vAlign w:val="center"/>
            <w:hideMark/>
          </w:tcPr>
          <w:p w:rsidR="004178F7" w:rsidRPr="004178F7" w:rsidRDefault="004178F7" w:rsidP="005759D8">
            <w:pPr>
              <w:jc w:val="both"/>
              <w:rPr>
                <w:rFonts w:ascii="Calibri" w:eastAsia="Times New Roman" w:hAnsi="Calibri" w:cs="Calibri"/>
                <w:b/>
                <w:bCs/>
                <w:color w:val="000000"/>
              </w:rPr>
            </w:pPr>
          </w:p>
        </w:tc>
        <w:tc>
          <w:tcPr>
            <w:tcW w:w="619"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rPr>
            </w:pPr>
            <w:r w:rsidRPr="004178F7">
              <w:rPr>
                <w:rFonts w:ascii="Calibri" w:eastAsia="Times New Roman" w:hAnsi="Calibri" w:cs="Calibri"/>
                <w:b/>
                <w:bCs/>
                <w:color w:val="000000"/>
              </w:rPr>
              <w:t>1</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3.93</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3.36</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4</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6.11</w:t>
            </w:r>
          </w:p>
        </w:tc>
        <w:tc>
          <w:tcPr>
            <w:tcW w:w="61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4.14</w:t>
            </w:r>
          </w:p>
        </w:tc>
        <w:tc>
          <w:tcPr>
            <w:tcW w:w="714"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2.3</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4.26</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8.11</w:t>
            </w:r>
          </w:p>
        </w:tc>
        <w:tc>
          <w:tcPr>
            <w:tcW w:w="536"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6.95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7.52</w:t>
            </w:r>
          </w:p>
        </w:tc>
        <w:tc>
          <w:tcPr>
            <w:tcW w:w="1142"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r w:rsidRPr="004178F7">
              <w:rPr>
                <w:rFonts w:ascii="Calibri" w:eastAsia="Times New Roman" w:hAnsi="Calibri" w:cs="Calibri"/>
                <w:color w:val="000000"/>
              </w:rPr>
              <w:t>5.068</w:t>
            </w:r>
          </w:p>
        </w:tc>
      </w:tr>
      <w:tr w:rsidR="005759D8" w:rsidRPr="004178F7" w:rsidTr="005759D8">
        <w:trPr>
          <w:trHeight w:val="349"/>
          <w:jc w:val="center"/>
        </w:trPr>
        <w:tc>
          <w:tcPr>
            <w:tcW w:w="45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color w:val="000000"/>
              </w:rPr>
            </w:pPr>
          </w:p>
        </w:tc>
        <w:tc>
          <w:tcPr>
            <w:tcW w:w="619"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6"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714"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536"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r>
      <w:tr w:rsidR="005759D8" w:rsidRPr="004178F7" w:rsidTr="005759D8">
        <w:trPr>
          <w:trHeight w:val="349"/>
          <w:jc w:val="center"/>
        </w:trPr>
        <w:tc>
          <w:tcPr>
            <w:tcW w:w="45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9"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6"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714"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536"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r>
      <w:tr w:rsidR="005759D8" w:rsidRPr="004178F7" w:rsidTr="005759D8">
        <w:trPr>
          <w:trHeight w:val="415"/>
          <w:jc w:val="center"/>
        </w:trPr>
        <w:tc>
          <w:tcPr>
            <w:tcW w:w="45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9"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3071" w:type="dxa"/>
            <w:gridSpan w:val="5"/>
            <w:tcBorders>
              <w:top w:val="nil"/>
              <w:left w:val="nil"/>
              <w:bottom w:val="nil"/>
              <w:right w:val="nil"/>
            </w:tcBorders>
            <w:shd w:val="clear" w:color="000000" w:fill="FFC000"/>
            <w:noWrap/>
            <w:vAlign w:val="bottom"/>
            <w:hideMark/>
          </w:tcPr>
          <w:p w:rsidR="004178F7" w:rsidRPr="004178F7" w:rsidRDefault="004178F7" w:rsidP="005759D8">
            <w:pPr>
              <w:jc w:val="center"/>
              <w:rPr>
                <w:rFonts w:ascii="Calibri" w:eastAsia="Times New Roman" w:hAnsi="Calibri" w:cs="Calibri"/>
                <w:color w:val="000000"/>
                <w:sz w:val="28"/>
                <w:szCs w:val="28"/>
              </w:rPr>
            </w:pPr>
            <w:r w:rsidRPr="004178F7">
              <w:rPr>
                <w:rFonts w:ascii="Calibri" w:eastAsia="Times New Roman" w:hAnsi="Calibri" w:cs="Calibri"/>
                <w:color w:val="000000"/>
                <w:sz w:val="28"/>
                <w:szCs w:val="28"/>
              </w:rPr>
              <w:t>Efficient load factor from above readings:</w:t>
            </w:r>
          </w:p>
        </w:tc>
        <w:tc>
          <w:tcPr>
            <w:tcW w:w="714" w:type="dxa"/>
            <w:tcBorders>
              <w:top w:val="nil"/>
              <w:left w:val="nil"/>
              <w:bottom w:val="nil"/>
              <w:right w:val="nil"/>
            </w:tcBorders>
            <w:shd w:val="clear" w:color="000000" w:fill="FFC000"/>
            <w:noWrap/>
            <w:vAlign w:val="bottom"/>
            <w:hideMark/>
          </w:tcPr>
          <w:p w:rsidR="004178F7" w:rsidRPr="004178F7" w:rsidRDefault="004178F7" w:rsidP="005759D8">
            <w:pPr>
              <w:jc w:val="both"/>
              <w:rPr>
                <w:rFonts w:ascii="Calibri" w:eastAsia="Times New Roman" w:hAnsi="Calibri" w:cs="Calibri"/>
                <w:b/>
                <w:bCs/>
                <w:color w:val="000000"/>
                <w:sz w:val="28"/>
                <w:szCs w:val="28"/>
              </w:rPr>
            </w:pPr>
            <w:r w:rsidRPr="004178F7">
              <w:rPr>
                <w:rFonts w:ascii="Calibri" w:eastAsia="Times New Roman" w:hAnsi="Calibri" w:cs="Calibri"/>
                <w:b/>
                <w:bCs/>
                <w:color w:val="000000"/>
                <w:sz w:val="28"/>
                <w:szCs w:val="28"/>
              </w:rPr>
              <w:t>0.75</w:t>
            </w: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Calibri" w:eastAsia="Times New Roman" w:hAnsi="Calibri" w:cs="Calibri"/>
                <w:b/>
                <w:bCs/>
                <w:color w:val="000000"/>
                <w:sz w:val="28"/>
                <w:szCs w:val="28"/>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536"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613"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rsidR="004178F7" w:rsidRPr="004178F7" w:rsidRDefault="004178F7" w:rsidP="005759D8">
            <w:pPr>
              <w:jc w:val="both"/>
              <w:rPr>
                <w:rFonts w:ascii="Times New Roman" w:eastAsia="Times New Roman" w:hAnsi="Times New Roman" w:cs="Times New Roman"/>
                <w:sz w:val="20"/>
                <w:szCs w:val="20"/>
              </w:rPr>
            </w:pPr>
          </w:p>
        </w:tc>
      </w:tr>
    </w:tbl>
    <w:p w:rsidR="00E5595A" w:rsidRDefault="00E5595A" w:rsidP="005759D8">
      <w:pPr>
        <w:jc w:val="both"/>
        <w:rPr>
          <w:lang w:val="en-US"/>
        </w:rPr>
      </w:pPr>
      <w:r>
        <w:rPr>
          <w:lang w:val="en-US"/>
        </w:rPr>
        <w:t xml:space="preserve"> </w:t>
      </w:r>
    </w:p>
    <w:p w:rsidR="005759D8" w:rsidRDefault="004178F7" w:rsidP="005759D8">
      <w:pPr>
        <w:jc w:val="both"/>
        <w:rPr>
          <w:sz w:val="28"/>
          <w:szCs w:val="28"/>
          <w:lang w:val="en-US"/>
        </w:rPr>
      </w:pPr>
      <w:r w:rsidRPr="005759D8">
        <w:rPr>
          <w:sz w:val="28"/>
          <w:szCs w:val="28"/>
          <w:lang w:val="en-US"/>
        </w:rPr>
        <w:lastRenderedPageBreak/>
        <w:t>The efficient load factor from above table is 0.75. It means whenever the hash table is more than 75% full it will resize the hash table twice and rehash all the values in newer hash table.</w:t>
      </w:r>
      <w:r w:rsidR="005759D8" w:rsidRPr="005759D8">
        <w:rPr>
          <w:sz w:val="28"/>
          <w:szCs w:val="28"/>
          <w:lang w:val="en-US"/>
        </w:rPr>
        <w:t xml:space="preserve"> </w:t>
      </w:r>
    </w:p>
    <w:p w:rsidR="004178F7" w:rsidRDefault="005759D8" w:rsidP="005759D8">
      <w:pPr>
        <w:jc w:val="both"/>
        <w:rPr>
          <w:sz w:val="28"/>
          <w:szCs w:val="28"/>
          <w:lang w:val="en-US"/>
        </w:rPr>
      </w:pPr>
      <w:r w:rsidRPr="005759D8">
        <w:rPr>
          <w:sz w:val="28"/>
          <w:szCs w:val="28"/>
          <w:lang w:val="en-US"/>
        </w:rPr>
        <w:t xml:space="preserve">Other values of load factor can also be considered but hash search is a combination of linear search and binary search in runtime and space complexity perspective. So if we take value of load factor as 0.6 from above table keeping in mind that average searching is less compare to others, in this case it requires more hashing compare to </w:t>
      </w:r>
      <w:r>
        <w:rPr>
          <w:sz w:val="28"/>
          <w:szCs w:val="28"/>
          <w:lang w:val="en-US"/>
        </w:rPr>
        <w:t>the load factor value of 0.75. More space is requires ever</w:t>
      </w:r>
      <w:r w:rsidR="00F27E7B">
        <w:rPr>
          <w:sz w:val="28"/>
          <w:szCs w:val="28"/>
          <w:lang w:val="en-US"/>
        </w:rPr>
        <w:t>y-</w:t>
      </w:r>
      <w:r>
        <w:rPr>
          <w:sz w:val="28"/>
          <w:szCs w:val="28"/>
          <w:lang w:val="en-US"/>
        </w:rPr>
        <w:t>time rehashing is done</w:t>
      </w:r>
      <w:r w:rsidR="00F27E7B">
        <w:rPr>
          <w:sz w:val="28"/>
          <w:szCs w:val="28"/>
          <w:lang w:val="en-US"/>
        </w:rPr>
        <w:t>.</w:t>
      </w:r>
    </w:p>
    <w:p w:rsidR="00F27E7B" w:rsidRDefault="00F27E7B" w:rsidP="005759D8">
      <w:pPr>
        <w:jc w:val="both"/>
        <w:rPr>
          <w:sz w:val="28"/>
          <w:szCs w:val="28"/>
          <w:lang w:val="en-US"/>
        </w:rPr>
      </w:pPr>
    </w:p>
    <w:p w:rsidR="00F27E7B" w:rsidRDefault="00F27E7B" w:rsidP="005759D8">
      <w:pPr>
        <w:jc w:val="both"/>
        <w:rPr>
          <w:sz w:val="28"/>
          <w:szCs w:val="28"/>
          <w:lang w:val="en-US"/>
        </w:rPr>
      </w:pPr>
      <w:r>
        <w:rPr>
          <w:sz w:val="28"/>
          <w:szCs w:val="28"/>
          <w:lang w:val="en-US"/>
        </w:rPr>
        <w:t>Graph for the above observations is as follow:</w:t>
      </w:r>
    </w:p>
    <w:p w:rsidR="00F27E7B" w:rsidRDefault="00F27E7B" w:rsidP="005759D8">
      <w:pPr>
        <w:jc w:val="both"/>
        <w:rPr>
          <w:sz w:val="28"/>
          <w:szCs w:val="28"/>
          <w:lang w:val="en-US"/>
        </w:rPr>
      </w:pPr>
      <w:r>
        <w:rPr>
          <w:noProof/>
        </w:rPr>
        <w:drawing>
          <wp:inline distT="0" distB="0" distL="0" distR="0" wp14:anchorId="6C2BB99D" wp14:editId="131DFEE8">
            <wp:extent cx="5727700" cy="2303145"/>
            <wp:effectExtent l="0" t="0" r="12700" b="8255"/>
            <wp:docPr id="1" name="Chart 1">
              <a:extLst xmlns:a="http://schemas.openxmlformats.org/drawingml/2006/main">
                <a:ext uri="{FF2B5EF4-FFF2-40B4-BE49-F238E27FC236}">
                  <a16:creationId xmlns:a16="http://schemas.microsoft.com/office/drawing/2014/main" id="{CBA018B8-72C2-7C41-91FE-ACFA229D84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27E7B" w:rsidRDefault="00F27E7B" w:rsidP="005759D8">
      <w:pPr>
        <w:jc w:val="both"/>
        <w:rPr>
          <w:sz w:val="28"/>
          <w:szCs w:val="28"/>
          <w:lang w:val="en-US"/>
        </w:rPr>
      </w:pPr>
    </w:p>
    <w:p w:rsidR="00F27E7B" w:rsidRDefault="00F27E7B" w:rsidP="005759D8">
      <w:pPr>
        <w:jc w:val="both"/>
        <w:rPr>
          <w:b/>
          <w:bCs/>
          <w:sz w:val="28"/>
          <w:szCs w:val="28"/>
          <w:lang w:val="en-US"/>
        </w:rPr>
      </w:pPr>
      <w:r w:rsidRPr="00F27E7B">
        <w:rPr>
          <w:b/>
          <w:bCs/>
          <w:sz w:val="28"/>
          <w:szCs w:val="28"/>
          <w:lang w:val="en-US"/>
        </w:rPr>
        <w:t>Conclusion:</w:t>
      </w:r>
    </w:p>
    <w:p w:rsidR="00F27E7B" w:rsidRPr="00F27E7B" w:rsidRDefault="00F27E7B" w:rsidP="005759D8">
      <w:pPr>
        <w:jc w:val="both"/>
        <w:rPr>
          <w:sz w:val="28"/>
          <w:szCs w:val="28"/>
          <w:lang w:val="en-US"/>
        </w:rPr>
      </w:pPr>
      <w:r>
        <w:rPr>
          <w:sz w:val="28"/>
          <w:szCs w:val="28"/>
          <w:lang w:val="en-US"/>
        </w:rPr>
        <w:t>From the above table and graph, Average searching is constant for load factor of 0.75 compare to other values of load factor.</w:t>
      </w:r>
      <w:r w:rsidR="00A57C98">
        <w:rPr>
          <w:sz w:val="28"/>
          <w:szCs w:val="28"/>
          <w:lang w:val="en-US"/>
        </w:rPr>
        <w:t xml:space="preserve"> So for the load factor value of 0.75 hashing using linear search will give efficient performance</w:t>
      </w:r>
      <w:r w:rsidR="00B83FEC">
        <w:rPr>
          <w:sz w:val="28"/>
          <w:szCs w:val="28"/>
          <w:lang w:val="en-US"/>
        </w:rPr>
        <w:t xml:space="preserve"> in space and runtime perspective.</w:t>
      </w:r>
      <w:bookmarkStart w:id="0" w:name="_GoBack"/>
      <w:bookmarkEnd w:id="0"/>
    </w:p>
    <w:sectPr w:rsidR="00F27E7B" w:rsidRPr="00F27E7B" w:rsidSect="005D17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11F0B"/>
    <w:multiLevelType w:val="hybridMultilevel"/>
    <w:tmpl w:val="61AC5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B4"/>
    <w:rsid w:val="000318B4"/>
    <w:rsid w:val="003157F6"/>
    <w:rsid w:val="004178F7"/>
    <w:rsid w:val="00430F96"/>
    <w:rsid w:val="005759D8"/>
    <w:rsid w:val="005D171F"/>
    <w:rsid w:val="00A57C98"/>
    <w:rsid w:val="00B83FEC"/>
    <w:rsid w:val="00E5595A"/>
    <w:rsid w:val="00EA1C34"/>
    <w:rsid w:val="00F27E7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4:docId w14:val="667D07AA"/>
  <w15:chartTrackingRefBased/>
  <w15:docId w15:val="{9F6B71CE-43DA-4B40-BEC3-4CA8F5AE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010677">
      <w:bodyDiv w:val="1"/>
      <w:marLeft w:val="0"/>
      <w:marRight w:val="0"/>
      <w:marTop w:val="0"/>
      <w:marBottom w:val="0"/>
      <w:divBdr>
        <w:top w:val="none" w:sz="0" w:space="0" w:color="auto"/>
        <w:left w:val="none" w:sz="0" w:space="0" w:color="auto"/>
        <w:bottom w:val="none" w:sz="0" w:space="0" w:color="auto"/>
        <w:right w:val="none" w:sz="0" w:space="0" w:color="auto"/>
      </w:divBdr>
    </w:div>
    <w:div w:id="213092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Empirical</a:t>
            </a:r>
            <a:r>
              <a:rPr lang="en-US" b="1" baseline="0"/>
              <a:t> analysis of Hashing search algorithm using linear probing</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Sheet1!$C$4</c:f>
              <c:strCache>
                <c:ptCount val="1"/>
                <c:pt idx="0">
                  <c:v>15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Sheet1!$B$5:$B$13</c:f>
              <c:numCache>
                <c:formatCode>General</c:formatCode>
                <c:ptCount val="9"/>
                <c:pt idx="0">
                  <c:v>0.6</c:v>
                </c:pt>
                <c:pt idx="1">
                  <c:v>0.65</c:v>
                </c:pt>
                <c:pt idx="2">
                  <c:v>0.7</c:v>
                </c:pt>
                <c:pt idx="3">
                  <c:v>0.75</c:v>
                </c:pt>
                <c:pt idx="4">
                  <c:v>0.8</c:v>
                </c:pt>
                <c:pt idx="5">
                  <c:v>0.85</c:v>
                </c:pt>
                <c:pt idx="6">
                  <c:v>0.9</c:v>
                </c:pt>
                <c:pt idx="7">
                  <c:v>0.95</c:v>
                </c:pt>
                <c:pt idx="8">
                  <c:v>1</c:v>
                </c:pt>
              </c:numCache>
            </c:numRef>
          </c:cat>
          <c:val>
            <c:numRef>
              <c:f>Sheet1!$C$5:$C$13</c:f>
              <c:numCache>
                <c:formatCode>General</c:formatCode>
                <c:ptCount val="9"/>
                <c:pt idx="0">
                  <c:v>1.46</c:v>
                </c:pt>
                <c:pt idx="1">
                  <c:v>1.46</c:v>
                </c:pt>
                <c:pt idx="2">
                  <c:v>2.46</c:v>
                </c:pt>
                <c:pt idx="3">
                  <c:v>2.13</c:v>
                </c:pt>
                <c:pt idx="4">
                  <c:v>2.5299999999999998</c:v>
                </c:pt>
                <c:pt idx="5">
                  <c:v>2.2000000000000002</c:v>
                </c:pt>
                <c:pt idx="6">
                  <c:v>2.6</c:v>
                </c:pt>
                <c:pt idx="7">
                  <c:v>3.93</c:v>
                </c:pt>
                <c:pt idx="8">
                  <c:v>3.93</c:v>
                </c:pt>
              </c:numCache>
            </c:numRef>
          </c:val>
          <c:smooth val="0"/>
          <c:extLst>
            <c:ext xmlns:c16="http://schemas.microsoft.com/office/drawing/2014/chart" uri="{C3380CC4-5D6E-409C-BE32-E72D297353CC}">
              <c16:uniqueId val="{00000000-52E4-A749-854E-37CD02C00FCE}"/>
            </c:ext>
          </c:extLst>
        </c:ser>
        <c:ser>
          <c:idx val="1"/>
          <c:order val="1"/>
          <c:tx>
            <c:strRef>
              <c:f>Sheet1!$D$4</c:f>
              <c:strCache>
                <c:ptCount val="1"/>
                <c:pt idx="0">
                  <c:v>25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Sheet1!$B$5:$B$13</c:f>
              <c:numCache>
                <c:formatCode>General</c:formatCode>
                <c:ptCount val="9"/>
                <c:pt idx="0">
                  <c:v>0.6</c:v>
                </c:pt>
                <c:pt idx="1">
                  <c:v>0.65</c:v>
                </c:pt>
                <c:pt idx="2">
                  <c:v>0.7</c:v>
                </c:pt>
                <c:pt idx="3">
                  <c:v>0.75</c:v>
                </c:pt>
                <c:pt idx="4">
                  <c:v>0.8</c:v>
                </c:pt>
                <c:pt idx="5">
                  <c:v>0.85</c:v>
                </c:pt>
                <c:pt idx="6">
                  <c:v>0.9</c:v>
                </c:pt>
                <c:pt idx="7">
                  <c:v>0.95</c:v>
                </c:pt>
                <c:pt idx="8">
                  <c:v>1</c:v>
                </c:pt>
              </c:numCache>
            </c:numRef>
          </c:cat>
          <c:val>
            <c:numRef>
              <c:f>Sheet1!$D$5:$D$13</c:f>
              <c:numCache>
                <c:formatCode>General</c:formatCode>
                <c:ptCount val="9"/>
                <c:pt idx="0">
                  <c:v>1.76</c:v>
                </c:pt>
                <c:pt idx="1">
                  <c:v>1.2</c:v>
                </c:pt>
                <c:pt idx="2">
                  <c:v>1.68</c:v>
                </c:pt>
                <c:pt idx="3">
                  <c:v>1.6</c:v>
                </c:pt>
                <c:pt idx="4">
                  <c:v>1.96</c:v>
                </c:pt>
                <c:pt idx="5">
                  <c:v>2.92</c:v>
                </c:pt>
                <c:pt idx="6">
                  <c:v>3.6</c:v>
                </c:pt>
                <c:pt idx="7">
                  <c:v>3.2</c:v>
                </c:pt>
                <c:pt idx="8">
                  <c:v>3.36</c:v>
                </c:pt>
              </c:numCache>
            </c:numRef>
          </c:val>
          <c:smooth val="0"/>
          <c:extLst>
            <c:ext xmlns:c16="http://schemas.microsoft.com/office/drawing/2014/chart" uri="{C3380CC4-5D6E-409C-BE32-E72D297353CC}">
              <c16:uniqueId val="{00000001-52E4-A749-854E-37CD02C00FCE}"/>
            </c:ext>
          </c:extLst>
        </c:ser>
        <c:ser>
          <c:idx val="2"/>
          <c:order val="2"/>
          <c:tx>
            <c:strRef>
              <c:f>Sheet1!$E$4</c:f>
              <c:strCache>
                <c:ptCount val="1"/>
                <c:pt idx="0">
                  <c:v>35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Sheet1!$B$5:$B$13</c:f>
              <c:numCache>
                <c:formatCode>General</c:formatCode>
                <c:ptCount val="9"/>
                <c:pt idx="0">
                  <c:v>0.6</c:v>
                </c:pt>
                <c:pt idx="1">
                  <c:v>0.65</c:v>
                </c:pt>
                <c:pt idx="2">
                  <c:v>0.7</c:v>
                </c:pt>
                <c:pt idx="3">
                  <c:v>0.75</c:v>
                </c:pt>
                <c:pt idx="4">
                  <c:v>0.8</c:v>
                </c:pt>
                <c:pt idx="5">
                  <c:v>0.85</c:v>
                </c:pt>
                <c:pt idx="6">
                  <c:v>0.9</c:v>
                </c:pt>
                <c:pt idx="7">
                  <c:v>0.95</c:v>
                </c:pt>
                <c:pt idx="8">
                  <c:v>1</c:v>
                </c:pt>
              </c:numCache>
            </c:numRef>
          </c:cat>
          <c:val>
            <c:numRef>
              <c:f>Sheet1!$E$5:$E$13</c:f>
              <c:numCache>
                <c:formatCode>General</c:formatCode>
                <c:ptCount val="9"/>
                <c:pt idx="0">
                  <c:v>1.37</c:v>
                </c:pt>
                <c:pt idx="1">
                  <c:v>1.6</c:v>
                </c:pt>
                <c:pt idx="2">
                  <c:v>1.62</c:v>
                </c:pt>
                <c:pt idx="3">
                  <c:v>1.54</c:v>
                </c:pt>
                <c:pt idx="4">
                  <c:v>2.4500000000000002</c:v>
                </c:pt>
                <c:pt idx="5">
                  <c:v>2.48</c:v>
                </c:pt>
                <c:pt idx="6">
                  <c:v>2.85</c:v>
                </c:pt>
                <c:pt idx="7">
                  <c:v>5.54</c:v>
                </c:pt>
                <c:pt idx="8">
                  <c:v>4</c:v>
                </c:pt>
              </c:numCache>
            </c:numRef>
          </c:val>
          <c:smooth val="0"/>
          <c:extLst>
            <c:ext xmlns:c16="http://schemas.microsoft.com/office/drawing/2014/chart" uri="{C3380CC4-5D6E-409C-BE32-E72D297353CC}">
              <c16:uniqueId val="{00000002-52E4-A749-854E-37CD02C00FCE}"/>
            </c:ext>
          </c:extLst>
        </c:ser>
        <c:ser>
          <c:idx val="3"/>
          <c:order val="3"/>
          <c:tx>
            <c:strRef>
              <c:f>Sheet1!$F$4</c:f>
              <c:strCache>
                <c:ptCount val="1"/>
                <c:pt idx="0">
                  <c:v>45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Sheet1!$B$5:$B$13</c:f>
              <c:numCache>
                <c:formatCode>General</c:formatCode>
                <c:ptCount val="9"/>
                <c:pt idx="0">
                  <c:v>0.6</c:v>
                </c:pt>
                <c:pt idx="1">
                  <c:v>0.65</c:v>
                </c:pt>
                <c:pt idx="2">
                  <c:v>0.7</c:v>
                </c:pt>
                <c:pt idx="3">
                  <c:v>0.75</c:v>
                </c:pt>
                <c:pt idx="4">
                  <c:v>0.8</c:v>
                </c:pt>
                <c:pt idx="5">
                  <c:v>0.85</c:v>
                </c:pt>
                <c:pt idx="6">
                  <c:v>0.9</c:v>
                </c:pt>
                <c:pt idx="7">
                  <c:v>0.95</c:v>
                </c:pt>
                <c:pt idx="8">
                  <c:v>1</c:v>
                </c:pt>
              </c:numCache>
            </c:numRef>
          </c:cat>
          <c:val>
            <c:numRef>
              <c:f>Sheet1!$F$5:$F$13</c:f>
              <c:numCache>
                <c:formatCode>General</c:formatCode>
                <c:ptCount val="9"/>
                <c:pt idx="0">
                  <c:v>1.48</c:v>
                </c:pt>
                <c:pt idx="1">
                  <c:v>1.42</c:v>
                </c:pt>
                <c:pt idx="2">
                  <c:v>1.66</c:v>
                </c:pt>
                <c:pt idx="3">
                  <c:v>1.66</c:v>
                </c:pt>
                <c:pt idx="4">
                  <c:v>2.31</c:v>
                </c:pt>
                <c:pt idx="5">
                  <c:v>1.91</c:v>
                </c:pt>
                <c:pt idx="6">
                  <c:v>3.4</c:v>
                </c:pt>
                <c:pt idx="7">
                  <c:v>2.5099999999999998</c:v>
                </c:pt>
                <c:pt idx="8">
                  <c:v>6.11</c:v>
                </c:pt>
              </c:numCache>
            </c:numRef>
          </c:val>
          <c:smooth val="0"/>
          <c:extLst>
            <c:ext xmlns:c16="http://schemas.microsoft.com/office/drawing/2014/chart" uri="{C3380CC4-5D6E-409C-BE32-E72D297353CC}">
              <c16:uniqueId val="{00000003-52E4-A749-854E-37CD02C00FCE}"/>
            </c:ext>
          </c:extLst>
        </c:ser>
        <c:ser>
          <c:idx val="4"/>
          <c:order val="4"/>
          <c:tx>
            <c:strRef>
              <c:f>Sheet1!$G$4</c:f>
              <c:strCache>
                <c:ptCount val="1"/>
                <c:pt idx="0">
                  <c:v>55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Sheet1!$B$5:$B$13</c:f>
              <c:numCache>
                <c:formatCode>General</c:formatCode>
                <c:ptCount val="9"/>
                <c:pt idx="0">
                  <c:v>0.6</c:v>
                </c:pt>
                <c:pt idx="1">
                  <c:v>0.65</c:v>
                </c:pt>
                <c:pt idx="2">
                  <c:v>0.7</c:v>
                </c:pt>
                <c:pt idx="3">
                  <c:v>0.75</c:v>
                </c:pt>
                <c:pt idx="4">
                  <c:v>0.8</c:v>
                </c:pt>
                <c:pt idx="5">
                  <c:v>0.85</c:v>
                </c:pt>
                <c:pt idx="6">
                  <c:v>0.9</c:v>
                </c:pt>
                <c:pt idx="7">
                  <c:v>0.95</c:v>
                </c:pt>
                <c:pt idx="8">
                  <c:v>1</c:v>
                </c:pt>
              </c:numCache>
            </c:numRef>
          </c:cat>
          <c:val>
            <c:numRef>
              <c:f>Sheet1!$G$5:$G$13</c:f>
              <c:numCache>
                <c:formatCode>General</c:formatCode>
                <c:ptCount val="9"/>
                <c:pt idx="0">
                  <c:v>1.56</c:v>
                </c:pt>
                <c:pt idx="1">
                  <c:v>1.8</c:v>
                </c:pt>
                <c:pt idx="2">
                  <c:v>1.89</c:v>
                </c:pt>
                <c:pt idx="3">
                  <c:v>1.63</c:v>
                </c:pt>
                <c:pt idx="4">
                  <c:v>1.8</c:v>
                </c:pt>
                <c:pt idx="5">
                  <c:v>2.4300000000000002</c:v>
                </c:pt>
                <c:pt idx="6">
                  <c:v>3.72</c:v>
                </c:pt>
                <c:pt idx="7">
                  <c:v>4.96</c:v>
                </c:pt>
                <c:pt idx="8">
                  <c:v>4.1399999999999997</c:v>
                </c:pt>
              </c:numCache>
            </c:numRef>
          </c:val>
          <c:smooth val="0"/>
          <c:extLst>
            <c:ext xmlns:c16="http://schemas.microsoft.com/office/drawing/2014/chart" uri="{C3380CC4-5D6E-409C-BE32-E72D297353CC}">
              <c16:uniqueId val="{00000004-52E4-A749-854E-37CD02C00FCE}"/>
            </c:ext>
          </c:extLst>
        </c:ser>
        <c:ser>
          <c:idx val="5"/>
          <c:order val="5"/>
          <c:tx>
            <c:strRef>
              <c:f>Sheet1!$H$4</c:f>
              <c:strCache>
                <c:ptCount val="1"/>
                <c:pt idx="0">
                  <c:v>65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Sheet1!$B$5:$B$13</c:f>
              <c:numCache>
                <c:formatCode>General</c:formatCode>
                <c:ptCount val="9"/>
                <c:pt idx="0">
                  <c:v>0.6</c:v>
                </c:pt>
                <c:pt idx="1">
                  <c:v>0.65</c:v>
                </c:pt>
                <c:pt idx="2">
                  <c:v>0.7</c:v>
                </c:pt>
                <c:pt idx="3">
                  <c:v>0.75</c:v>
                </c:pt>
                <c:pt idx="4">
                  <c:v>0.8</c:v>
                </c:pt>
                <c:pt idx="5">
                  <c:v>0.85</c:v>
                </c:pt>
                <c:pt idx="6">
                  <c:v>0.9</c:v>
                </c:pt>
                <c:pt idx="7">
                  <c:v>0.95</c:v>
                </c:pt>
                <c:pt idx="8">
                  <c:v>1</c:v>
                </c:pt>
              </c:numCache>
            </c:numRef>
          </c:cat>
          <c:val>
            <c:numRef>
              <c:f>Sheet1!$H$5:$H$13</c:f>
              <c:numCache>
                <c:formatCode>General</c:formatCode>
                <c:ptCount val="9"/>
                <c:pt idx="0">
                  <c:v>1.33</c:v>
                </c:pt>
                <c:pt idx="1">
                  <c:v>1.53</c:v>
                </c:pt>
                <c:pt idx="2">
                  <c:v>2.0099999999999998</c:v>
                </c:pt>
                <c:pt idx="3">
                  <c:v>1.63</c:v>
                </c:pt>
                <c:pt idx="4">
                  <c:v>1.95</c:v>
                </c:pt>
                <c:pt idx="5">
                  <c:v>3.55</c:v>
                </c:pt>
                <c:pt idx="6">
                  <c:v>2.8</c:v>
                </c:pt>
                <c:pt idx="7">
                  <c:v>2.63</c:v>
                </c:pt>
                <c:pt idx="8">
                  <c:v>2.2999999999999998</c:v>
                </c:pt>
              </c:numCache>
            </c:numRef>
          </c:val>
          <c:smooth val="0"/>
          <c:extLst>
            <c:ext xmlns:c16="http://schemas.microsoft.com/office/drawing/2014/chart" uri="{C3380CC4-5D6E-409C-BE32-E72D297353CC}">
              <c16:uniqueId val="{00000005-52E4-A749-854E-37CD02C00FCE}"/>
            </c:ext>
          </c:extLst>
        </c:ser>
        <c:ser>
          <c:idx val="6"/>
          <c:order val="6"/>
          <c:tx>
            <c:strRef>
              <c:f>Sheet1!$I$4</c:f>
              <c:strCache>
                <c:ptCount val="1"/>
                <c:pt idx="0">
                  <c:v>75</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Sheet1!$B$5:$B$13</c:f>
              <c:numCache>
                <c:formatCode>General</c:formatCode>
                <c:ptCount val="9"/>
                <c:pt idx="0">
                  <c:v>0.6</c:v>
                </c:pt>
                <c:pt idx="1">
                  <c:v>0.65</c:v>
                </c:pt>
                <c:pt idx="2">
                  <c:v>0.7</c:v>
                </c:pt>
                <c:pt idx="3">
                  <c:v>0.75</c:v>
                </c:pt>
                <c:pt idx="4">
                  <c:v>0.8</c:v>
                </c:pt>
                <c:pt idx="5">
                  <c:v>0.85</c:v>
                </c:pt>
                <c:pt idx="6">
                  <c:v>0.9</c:v>
                </c:pt>
                <c:pt idx="7">
                  <c:v>0.95</c:v>
                </c:pt>
                <c:pt idx="8">
                  <c:v>1</c:v>
                </c:pt>
              </c:numCache>
            </c:numRef>
          </c:cat>
          <c:val>
            <c:numRef>
              <c:f>Sheet1!$I$5:$I$13</c:f>
              <c:numCache>
                <c:formatCode>General</c:formatCode>
                <c:ptCount val="9"/>
                <c:pt idx="0">
                  <c:v>1.46</c:v>
                </c:pt>
                <c:pt idx="1">
                  <c:v>1.81</c:v>
                </c:pt>
                <c:pt idx="2">
                  <c:v>2.37</c:v>
                </c:pt>
                <c:pt idx="3">
                  <c:v>3.02</c:v>
                </c:pt>
                <c:pt idx="4">
                  <c:v>2.4900000000000002</c:v>
                </c:pt>
                <c:pt idx="5">
                  <c:v>3.5</c:v>
                </c:pt>
                <c:pt idx="6">
                  <c:v>6.16</c:v>
                </c:pt>
                <c:pt idx="7">
                  <c:v>7.05</c:v>
                </c:pt>
                <c:pt idx="8">
                  <c:v>4.26</c:v>
                </c:pt>
              </c:numCache>
            </c:numRef>
          </c:val>
          <c:smooth val="0"/>
          <c:extLst>
            <c:ext xmlns:c16="http://schemas.microsoft.com/office/drawing/2014/chart" uri="{C3380CC4-5D6E-409C-BE32-E72D297353CC}">
              <c16:uniqueId val="{00000006-52E4-A749-854E-37CD02C00FCE}"/>
            </c:ext>
          </c:extLst>
        </c:ser>
        <c:ser>
          <c:idx val="7"/>
          <c:order val="7"/>
          <c:tx>
            <c:strRef>
              <c:f>Sheet1!$J$4</c:f>
              <c:strCache>
                <c:ptCount val="1"/>
                <c:pt idx="0">
                  <c:v>85</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Sheet1!$B$5:$B$13</c:f>
              <c:numCache>
                <c:formatCode>General</c:formatCode>
                <c:ptCount val="9"/>
                <c:pt idx="0">
                  <c:v>0.6</c:v>
                </c:pt>
                <c:pt idx="1">
                  <c:v>0.65</c:v>
                </c:pt>
                <c:pt idx="2">
                  <c:v>0.7</c:v>
                </c:pt>
                <c:pt idx="3">
                  <c:v>0.75</c:v>
                </c:pt>
                <c:pt idx="4">
                  <c:v>0.8</c:v>
                </c:pt>
                <c:pt idx="5">
                  <c:v>0.85</c:v>
                </c:pt>
                <c:pt idx="6">
                  <c:v>0.9</c:v>
                </c:pt>
                <c:pt idx="7">
                  <c:v>0.95</c:v>
                </c:pt>
                <c:pt idx="8">
                  <c:v>1</c:v>
                </c:pt>
              </c:numCache>
            </c:numRef>
          </c:cat>
          <c:val>
            <c:numRef>
              <c:f>Sheet1!$J$5:$J$13</c:f>
              <c:numCache>
                <c:formatCode>General</c:formatCode>
                <c:ptCount val="9"/>
                <c:pt idx="0">
                  <c:v>1.61</c:v>
                </c:pt>
                <c:pt idx="1">
                  <c:v>1.92</c:v>
                </c:pt>
                <c:pt idx="2">
                  <c:v>2.6</c:v>
                </c:pt>
                <c:pt idx="3">
                  <c:v>1.97</c:v>
                </c:pt>
                <c:pt idx="4">
                  <c:v>1.83</c:v>
                </c:pt>
                <c:pt idx="5">
                  <c:v>2.5099999999999998</c:v>
                </c:pt>
                <c:pt idx="6">
                  <c:v>3.71</c:v>
                </c:pt>
                <c:pt idx="7">
                  <c:v>5.25</c:v>
                </c:pt>
                <c:pt idx="8">
                  <c:v>8.11</c:v>
                </c:pt>
              </c:numCache>
            </c:numRef>
          </c:val>
          <c:smooth val="0"/>
          <c:extLst>
            <c:ext xmlns:c16="http://schemas.microsoft.com/office/drawing/2014/chart" uri="{C3380CC4-5D6E-409C-BE32-E72D297353CC}">
              <c16:uniqueId val="{00000007-52E4-A749-854E-37CD02C00FCE}"/>
            </c:ext>
          </c:extLst>
        </c:ser>
        <c:ser>
          <c:idx val="8"/>
          <c:order val="8"/>
          <c:tx>
            <c:strRef>
              <c:f>Sheet1!$K$4</c:f>
              <c:strCache>
                <c:ptCount val="1"/>
                <c:pt idx="0">
                  <c:v>95</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Sheet1!$B$5:$B$13</c:f>
              <c:numCache>
                <c:formatCode>General</c:formatCode>
                <c:ptCount val="9"/>
                <c:pt idx="0">
                  <c:v>0.6</c:v>
                </c:pt>
                <c:pt idx="1">
                  <c:v>0.65</c:v>
                </c:pt>
                <c:pt idx="2">
                  <c:v>0.7</c:v>
                </c:pt>
                <c:pt idx="3">
                  <c:v>0.75</c:v>
                </c:pt>
                <c:pt idx="4">
                  <c:v>0.8</c:v>
                </c:pt>
                <c:pt idx="5">
                  <c:v>0.85</c:v>
                </c:pt>
                <c:pt idx="6">
                  <c:v>0.9</c:v>
                </c:pt>
                <c:pt idx="7">
                  <c:v>0.95</c:v>
                </c:pt>
                <c:pt idx="8">
                  <c:v>1</c:v>
                </c:pt>
              </c:numCache>
            </c:numRef>
          </c:cat>
          <c:val>
            <c:numRef>
              <c:f>Sheet1!$K$5:$K$13</c:f>
              <c:numCache>
                <c:formatCode>General</c:formatCode>
                <c:ptCount val="9"/>
                <c:pt idx="0">
                  <c:v>1.62</c:v>
                </c:pt>
                <c:pt idx="1">
                  <c:v>1.9</c:v>
                </c:pt>
                <c:pt idx="2">
                  <c:v>1.97</c:v>
                </c:pt>
                <c:pt idx="3">
                  <c:v>1.68</c:v>
                </c:pt>
                <c:pt idx="4">
                  <c:v>2.48</c:v>
                </c:pt>
                <c:pt idx="5">
                  <c:v>2.33</c:v>
                </c:pt>
                <c:pt idx="6">
                  <c:v>2.87</c:v>
                </c:pt>
                <c:pt idx="7">
                  <c:v>2.4500000000000002</c:v>
                </c:pt>
                <c:pt idx="8">
                  <c:v>6.95</c:v>
                </c:pt>
              </c:numCache>
            </c:numRef>
          </c:val>
          <c:smooth val="0"/>
          <c:extLst>
            <c:ext xmlns:c16="http://schemas.microsoft.com/office/drawing/2014/chart" uri="{C3380CC4-5D6E-409C-BE32-E72D297353CC}">
              <c16:uniqueId val="{00000008-52E4-A749-854E-37CD02C00FCE}"/>
            </c:ext>
          </c:extLst>
        </c:ser>
        <c:ser>
          <c:idx val="9"/>
          <c:order val="9"/>
          <c:tx>
            <c:strRef>
              <c:f>Sheet1!$L$4</c:f>
              <c:strCache>
                <c:ptCount val="1"/>
                <c:pt idx="0">
                  <c:v>105</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Sheet1!$B$5:$B$13</c:f>
              <c:numCache>
                <c:formatCode>General</c:formatCode>
                <c:ptCount val="9"/>
                <c:pt idx="0">
                  <c:v>0.6</c:v>
                </c:pt>
                <c:pt idx="1">
                  <c:v>0.65</c:v>
                </c:pt>
                <c:pt idx="2">
                  <c:v>0.7</c:v>
                </c:pt>
                <c:pt idx="3">
                  <c:v>0.75</c:v>
                </c:pt>
                <c:pt idx="4">
                  <c:v>0.8</c:v>
                </c:pt>
                <c:pt idx="5">
                  <c:v>0.85</c:v>
                </c:pt>
                <c:pt idx="6">
                  <c:v>0.9</c:v>
                </c:pt>
                <c:pt idx="7">
                  <c:v>0.95</c:v>
                </c:pt>
                <c:pt idx="8">
                  <c:v>1</c:v>
                </c:pt>
              </c:numCache>
            </c:numRef>
          </c:cat>
          <c:val>
            <c:numRef>
              <c:f>Sheet1!$L$5:$L$13</c:f>
              <c:numCache>
                <c:formatCode>General</c:formatCode>
                <c:ptCount val="9"/>
                <c:pt idx="0">
                  <c:v>1.82</c:v>
                </c:pt>
                <c:pt idx="1">
                  <c:v>1.81</c:v>
                </c:pt>
                <c:pt idx="2">
                  <c:v>1.72</c:v>
                </c:pt>
                <c:pt idx="3">
                  <c:v>2</c:v>
                </c:pt>
                <c:pt idx="4">
                  <c:v>2.0299999999999998</c:v>
                </c:pt>
                <c:pt idx="5">
                  <c:v>2.78</c:v>
                </c:pt>
                <c:pt idx="6">
                  <c:v>3.11</c:v>
                </c:pt>
                <c:pt idx="7">
                  <c:v>5.03</c:v>
                </c:pt>
                <c:pt idx="8">
                  <c:v>7.52</c:v>
                </c:pt>
              </c:numCache>
            </c:numRef>
          </c:val>
          <c:smooth val="0"/>
          <c:extLst>
            <c:ext xmlns:c16="http://schemas.microsoft.com/office/drawing/2014/chart" uri="{C3380CC4-5D6E-409C-BE32-E72D297353CC}">
              <c16:uniqueId val="{00000009-52E4-A749-854E-37CD02C00FCE}"/>
            </c:ext>
          </c:extLst>
        </c:ser>
        <c:dLbls>
          <c:showLegendKey val="0"/>
          <c:showVal val="0"/>
          <c:showCatName val="0"/>
          <c:showSerName val="0"/>
          <c:showPercent val="0"/>
          <c:showBubbleSize val="0"/>
        </c:dLbls>
        <c:marker val="1"/>
        <c:smooth val="0"/>
        <c:axId val="1145619152"/>
        <c:axId val="1145610000"/>
      </c:lineChart>
      <c:catAx>
        <c:axId val="114561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610000"/>
        <c:crosses val="autoZero"/>
        <c:auto val="1"/>
        <c:lblAlgn val="ctr"/>
        <c:lblOffset val="100"/>
        <c:noMultiLvlLbl val="0"/>
      </c:catAx>
      <c:valAx>
        <c:axId val="114561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619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Bharatbhai Patel</dc:creator>
  <cp:keywords/>
  <dc:description/>
  <cp:lastModifiedBy>Bhavya Bharatbhai Patel</cp:lastModifiedBy>
  <cp:revision>6</cp:revision>
  <dcterms:created xsi:type="dcterms:W3CDTF">2019-07-15T00:52:00Z</dcterms:created>
  <dcterms:modified xsi:type="dcterms:W3CDTF">2019-07-15T03:55:00Z</dcterms:modified>
</cp:coreProperties>
</file>