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rPr>
          <w:b/>
          <w:color w:val="12A8E0"/>
          <w:sz w:val="22"/>
        </w:rPr>
        <w:t>EXECUTIVE CASE STUDY</w:t>
      </w:r>
    </w:p>
    <w:p>
      <w:r>
        <w:rPr>
          <w:b/>
          <w:color w:val="0B1F3A"/>
          <w:sz w:val="68"/>
        </w:rPr>
        <w:t>PREDICTIVE</w:t>
        <w:br/>
        <w:t>MAINTENANCE</w:t>
      </w:r>
    </w:p>
    <w:p>
      <w:r>
        <w:rPr>
          <w:color w:val="1769E0"/>
          <w:sz w:val="30"/>
        </w:rPr>
        <w:t>From rare-event prediction to governed maintenance decisions</w:t>
      </w:r>
    </w:p>
    <w:p/>
    <w:tbl>
      <w:tblPr>
        <w:tblW w:type="auto" w:w="0"/>
        <w:jc w:val="center"/>
        <w:tblLayout w:type="autofit"/>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15"/>
        <w:gridCol w:w="9648"/>
      </w:tblGrid>
      <w:tr>
        <w:tc>
          <w:tcPr>
            <w:tcW w:type="dxa" w:w="5141"/>
            <w:shd w:fill="F59E0B"/>
          </w:tcPr>
          <w:p/>
        </w:tc>
        <w:tc>
          <w:tcPr>
            <w:tcW w:type="dxa" w:w="5141"/>
            <w:shd w:fill="EEF7FF"/>
          </w:tcPr>
          <w:p>
            <w:r/>
            <w:r>
              <w:rPr>
                <w:b/>
                <w:color w:val="0B1F3A"/>
                <w:sz w:val="22"/>
              </w:rPr>
              <w:t>Business question</w:t>
            </w:r>
          </w:p>
          <w:p>
            <w:pPr>
              <w:spacing w:after="40"/>
            </w:pPr>
            <w:r>
              <w:t>Can routine machine operating conditions identify elevated failure risk early enough to support better maintenance decisions?</w:t>
            </w:r>
          </w:p>
        </w:tc>
      </w:tr>
    </w:tbl>
    <w:p>
      <w:pPr>
        <w:spacing w:after="20"/>
      </w:pPr>
    </w:p>
    <w:tbl>
      <w:tblPr>
        <w:tblW w:type="auto" w:w="0"/>
        <w:jc w:val="center"/>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570"/>
        <w:gridCol w:w="2570"/>
        <w:gridCol w:w="2570"/>
        <w:gridCol w:w="2570"/>
      </w:tblGrid>
      <w:tr>
        <w:tc>
          <w:tcPr>
            <w:tcW w:type="dxa" w:w="2570"/>
            <w:shd w:fill="F4F8FD"/>
          </w:tcPr>
          <w:p>
            <w:pPr>
              <w:jc w:val="center"/>
            </w:pPr>
            <w:r/>
            <w:r>
              <w:rPr>
                <w:b/>
                <w:color w:val="1769E0"/>
                <w:sz w:val="40"/>
              </w:rPr>
              <w:t>10,000</w:t>
            </w:r>
          </w:p>
          <w:p>
            <w:pPr>
              <w:jc w:val="center"/>
            </w:pPr>
            <w:r>
              <w:rPr>
                <w:color w:val="5B6678"/>
                <w:sz w:val="15"/>
              </w:rPr>
              <w:t>observations</w:t>
            </w:r>
          </w:p>
        </w:tc>
        <w:tc>
          <w:tcPr>
            <w:tcW w:type="dxa" w:w="2570"/>
            <w:shd w:fill="F4F8FD"/>
          </w:tcPr>
          <w:p>
            <w:pPr>
              <w:jc w:val="center"/>
            </w:pPr>
            <w:r/>
            <w:r>
              <w:rPr>
                <w:b/>
                <w:color w:val="1769E0"/>
                <w:sz w:val="40"/>
              </w:rPr>
              <w:t>339</w:t>
            </w:r>
          </w:p>
          <w:p>
            <w:pPr>
              <w:jc w:val="center"/>
            </w:pPr>
            <w:r>
              <w:rPr>
                <w:color w:val="5B6678"/>
                <w:sz w:val="15"/>
              </w:rPr>
              <w:t>failures</w:t>
            </w:r>
          </w:p>
        </w:tc>
        <w:tc>
          <w:tcPr>
            <w:tcW w:type="dxa" w:w="2570"/>
            <w:shd w:fill="F4F8FD"/>
          </w:tcPr>
          <w:p>
            <w:pPr>
              <w:jc w:val="center"/>
            </w:pPr>
            <w:r/>
            <w:r>
              <w:rPr>
                <w:b/>
                <w:color w:val="1769E0"/>
                <w:sz w:val="40"/>
              </w:rPr>
              <w:t>3.39%</w:t>
            </w:r>
          </w:p>
          <w:p>
            <w:pPr>
              <w:jc w:val="center"/>
            </w:pPr>
            <w:r>
              <w:rPr>
                <w:color w:val="5B6678"/>
                <w:sz w:val="15"/>
              </w:rPr>
              <w:t>failure prevalence</w:t>
            </w:r>
          </w:p>
        </w:tc>
        <w:tc>
          <w:tcPr>
            <w:tcW w:type="dxa" w:w="2570"/>
            <w:shd w:fill="F4F8FD"/>
          </w:tcPr>
          <w:p>
            <w:pPr>
              <w:jc w:val="center"/>
            </w:pPr>
            <w:r/>
            <w:r>
              <w:rPr>
                <w:b/>
                <w:color w:val="1769E0"/>
                <w:sz w:val="40"/>
              </w:rPr>
              <w:t>7</w:t>
            </w:r>
          </w:p>
          <w:p>
            <w:pPr>
              <w:jc w:val="center"/>
            </w:pPr>
            <w:r>
              <w:rPr>
                <w:color w:val="5B6678"/>
                <w:sz w:val="15"/>
              </w:rPr>
              <w:t>model configurations</w:t>
            </w:r>
          </w:p>
        </w:tc>
      </w:tr>
    </w:tbl>
    <w:p>
      <w:pPr>
        <w:spacing w:after="40"/>
      </w:pPr>
    </w:p>
    <w:p>
      <w:pPr>
        <w:spacing w:before="320"/>
      </w:pPr>
      <w:r>
        <w:rPr>
          <w:color w:val="5B6678"/>
          <w:sz w:val="17"/>
        </w:rPr>
        <w:t>Evidence base: uploaded Jupyter notebook and recorded outputs. Analytical proof of concept; not a validated production control system.</w:t>
      </w:r>
    </w:p>
    <w:p>
      <w:r>
        <w:br w:type="page"/>
      </w:r>
    </w:p>
    <w:p>
      <w:r>
        <w:rPr>
          <w:b/>
          <w:color w:val="12A8E0"/>
          <w:sz w:val="18"/>
        </w:rPr>
        <w:t>EXECUTIVE DECISION</w:t>
      </w:r>
    </w:p>
    <w:p>
      <w:pPr>
        <w:spacing w:after="80"/>
      </w:pPr>
      <w:r>
        <w:rPr>
          <w:b/>
          <w:color w:val="0B1F3A"/>
          <w:sz w:val="56"/>
        </w:rPr>
        <w:t>1. Executive summary</w:t>
      </w:r>
    </w:p>
    <w:p>
      <w:pPr>
        <w:spacing w:after="200"/>
      </w:pPr>
      <w:r>
        <w:rPr>
          <w:color w:val="5B6678"/>
          <w:sz w:val="24"/>
        </w:rPr>
        <w:t>A concise view of the result, decision logic, and recommended enterprise path.</w:t>
      </w:r>
    </w:p>
    <w:tbl>
      <w:tblPr>
        <w:tblW w:type="auto" w:w="0"/>
        <w:jc w:val="center"/>
        <w:tblLayout w:type="autofit"/>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15"/>
        <w:gridCol w:w="9648"/>
      </w:tblGrid>
      <w:tr>
        <w:tc>
          <w:tcPr>
            <w:tcW w:type="dxa" w:w="5141"/>
            <w:shd w:fill="00A38C"/>
          </w:tcPr>
          <w:p/>
        </w:tc>
        <w:tc>
          <w:tcPr>
            <w:tcW w:type="dxa" w:w="5141"/>
            <w:shd w:fill="EAF8F5"/>
          </w:tcPr>
          <w:p>
            <w:r/>
            <w:r>
              <w:rPr>
                <w:b/>
                <w:color w:val="0B1F3A"/>
                <w:sz w:val="22"/>
              </w:rPr>
              <w:t>Recommendation</w:t>
            </w:r>
          </w:p>
          <w:p>
            <w:pPr>
              <w:spacing w:after="40"/>
            </w:pPr>
            <w:r>
              <w:t>Use Random Forest as the leading pilot model and treat the decision threshold as a governed operating policy. At threshold 0.50 the model is highly precise; at 0.20 it detects more failures when the business prioritizes failure capture.</w:t>
            </w:r>
          </w:p>
        </w:tc>
      </w:tr>
    </w:tbl>
    <w:p>
      <w:pPr>
        <w:spacing w:after="20"/>
      </w:pPr>
    </w:p>
    <w:tbl>
      <w:tblPr>
        <w:tblW w:type="auto" w:w="0"/>
        <w:jc w:val="center"/>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570"/>
        <w:gridCol w:w="2570"/>
        <w:gridCol w:w="2570"/>
        <w:gridCol w:w="2570"/>
      </w:tblGrid>
      <w:tr>
        <w:tc>
          <w:tcPr>
            <w:tcW w:type="dxa" w:w="2570"/>
            <w:shd w:fill="F4F8FD"/>
          </w:tcPr>
          <w:p>
            <w:pPr>
              <w:jc w:val="center"/>
            </w:pPr>
            <w:r/>
            <w:r>
              <w:rPr>
                <w:b/>
                <w:color w:val="1769E0"/>
                <w:sz w:val="40"/>
              </w:rPr>
              <w:t>96.5%</w:t>
            </w:r>
          </w:p>
          <w:p>
            <w:pPr>
              <w:jc w:val="center"/>
            </w:pPr>
            <w:r>
              <w:rPr>
                <w:color w:val="5B6678"/>
                <w:sz w:val="15"/>
              </w:rPr>
              <w:t>precision @ 0.50</w:t>
            </w:r>
          </w:p>
        </w:tc>
        <w:tc>
          <w:tcPr>
            <w:tcW w:type="dxa" w:w="2570"/>
            <w:shd w:fill="F4F8FD"/>
          </w:tcPr>
          <w:p>
            <w:pPr>
              <w:jc w:val="center"/>
            </w:pPr>
            <w:r/>
            <w:r>
              <w:rPr>
                <w:b/>
                <w:color w:val="1769E0"/>
                <w:sz w:val="40"/>
              </w:rPr>
              <w:t>80.9%</w:t>
            </w:r>
          </w:p>
          <w:p>
            <w:pPr>
              <w:jc w:val="center"/>
            </w:pPr>
            <w:r>
              <w:rPr>
                <w:color w:val="5B6678"/>
                <w:sz w:val="15"/>
              </w:rPr>
              <w:t>recall @ 0.50</w:t>
            </w:r>
          </w:p>
        </w:tc>
        <w:tc>
          <w:tcPr>
            <w:tcW w:type="dxa" w:w="2570"/>
            <w:shd w:fill="F4F8FD"/>
          </w:tcPr>
          <w:p>
            <w:pPr>
              <w:jc w:val="center"/>
            </w:pPr>
            <w:r/>
            <w:r>
              <w:rPr>
                <w:b/>
                <w:color w:val="1769E0"/>
                <w:sz w:val="40"/>
              </w:rPr>
              <w:t>88.0%</w:t>
            </w:r>
          </w:p>
          <w:p>
            <w:pPr>
              <w:jc w:val="center"/>
            </w:pPr>
            <w:r>
              <w:rPr>
                <w:color w:val="5B6678"/>
                <w:sz w:val="15"/>
              </w:rPr>
              <w:t>F1 @ 0.50</w:t>
            </w:r>
          </w:p>
        </w:tc>
        <w:tc>
          <w:tcPr>
            <w:tcW w:type="dxa" w:w="2570"/>
            <w:shd w:fill="F4F8FD"/>
          </w:tcPr>
          <w:p>
            <w:pPr>
              <w:jc w:val="center"/>
            </w:pPr>
            <w:r/>
            <w:r>
              <w:rPr>
                <w:b/>
                <w:color w:val="1769E0"/>
                <w:sz w:val="40"/>
              </w:rPr>
              <w:t>89.1%</w:t>
            </w:r>
          </w:p>
          <w:p>
            <w:pPr>
              <w:jc w:val="center"/>
            </w:pPr>
            <w:r>
              <w:rPr>
                <w:color w:val="5B6678"/>
                <w:sz w:val="15"/>
              </w:rPr>
              <w:t>PR-AUC</w:t>
            </w:r>
          </w:p>
        </w:tc>
      </w:tr>
    </w:tbl>
    <w:p>
      <w:pPr>
        <w:spacing w:after="40"/>
      </w:pPr>
    </w:p>
    <w:p>
      <w:pPr>
        <w:jc w:val="center"/>
      </w:pPr>
      <w:r>
        <w:drawing>
          <wp:inline xmlns:a="http://schemas.openxmlformats.org/drawingml/2006/main" xmlns:pic="http://schemas.openxmlformats.org/drawingml/2006/picture">
            <wp:extent cx="6400800" cy="1734769"/>
            <wp:docPr id="1" name="Picture 1"/>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6400800" cy="1734769"/>
                    </a:xfrm>
                    <a:prstGeom prst="rect"/>
                  </pic:spPr>
                </pic:pic>
              </a:graphicData>
            </a:graphic>
          </wp:inline>
        </w:drawing>
      </w:r>
    </w:p>
    <w:p>
      <w:pPr>
        <w:pStyle w:val="Heading2"/>
        <w:spacing w:before="120" w:after="60"/>
      </w:pPr>
      <w:r>
        <w:t>What leadership should take away</w:t>
      </w:r>
    </w:p>
    <w:p>
      <w:pPr>
        <w:pStyle w:val="ListBullet"/>
        <w:spacing w:after="40"/>
        <w:ind w:left="317"/>
      </w:pPr>
      <w:r>
        <w:t>Accuracy was intentionally not used as the primary success measure: a naive model reached 96.6% accuracy while detecting zero failures.</w:t>
      </w:r>
    </w:p>
    <w:p>
      <w:pPr>
        <w:pStyle w:val="ListBullet"/>
        <w:spacing w:after="40"/>
        <w:ind w:left="317"/>
      </w:pPr>
      <w:r>
        <w:t>Random Forest produced the strongest overall balance at the default operating point and remained superior to XGBoost under the 85%+ failure-detection scenario.</w:t>
      </w:r>
    </w:p>
    <w:p>
      <w:pPr>
        <w:pStyle w:val="ListBullet"/>
        <w:spacing w:after="40"/>
        <w:ind w:left="317"/>
      </w:pPr>
      <w:r>
        <w:t>The preferred threshold depends on the economics of downtime, inspection capacity, asset criticality, and acceptable false-alarm burden.</w:t>
      </w:r>
    </w:p>
    <w:p>
      <w:pPr>
        <w:pStyle w:val="ListBullet"/>
        <w:spacing w:after="40"/>
        <w:ind w:left="317"/>
      </w:pPr>
      <w:r>
        <w:t>The proof of concept supports a controlled shadow-mode pilot, not autonomous maintenance decisions.</w:t>
      </w:r>
    </w:p>
    <w:p>
      <w:r>
        <w:rPr>
          <w:b/>
          <w:color w:val="12A8E0"/>
          <w:sz w:val="18"/>
        </w:rPr>
        <w:t>DECISION CONTEXT</w:t>
      </w:r>
    </w:p>
    <w:p>
      <w:pPr>
        <w:spacing w:after="80"/>
      </w:pPr>
      <w:r>
        <w:rPr>
          <w:b/>
          <w:color w:val="0B1F3A"/>
          <w:sz w:val="56"/>
        </w:rPr>
        <w:t>2. Why predictive maintenance is a business problem</w:t>
      </w:r>
    </w:p>
    <w:p>
      <w:pPr>
        <w:spacing w:after="200"/>
      </w:pPr>
      <w:r>
        <w:rPr>
          <w:color w:val="5B6678"/>
          <w:sz w:val="24"/>
        </w:rPr>
        <w:t>The model is useful only if it improves decisions about uptime, maintenance capacity, and operational risk.</w:t>
      </w:r>
    </w:p>
    <w:p>
      <w:pPr>
        <w:pStyle w:val="Heading2"/>
        <w:spacing w:before="120" w:after="60"/>
      </w:pPr>
      <w:r>
        <w:t>The operating challenge</w:t>
      </w:r>
    </w:p>
    <w:p>
      <w:pPr>
        <w:spacing w:after="100" w:line="257" w:lineRule="auto"/>
      </w:pPr>
      <w:r>
        <w:t>Reactive maintenance exposes operations to unplanned downtime and downstream schedule disruption. Fixed preventive maintenance reduces some risk, but it can consume labor and parts on equipment that is not yet at elevated risk. Predictive maintenance adds a third option: prioritize attention using observed operating conditions.</w:t>
      </w:r>
    </w:p>
    <w:p>
      <w:pPr>
        <w:pStyle w:val="Heading2"/>
        <w:spacing w:before="120" w:after="60"/>
      </w:pPr>
      <w:r>
        <w:t>The rare-event complication</w:t>
      </w:r>
    </w:p>
    <w:p>
      <w:pPr>
        <w:jc w:val="center"/>
      </w:pPr>
      <w:r>
        <w:drawing>
          <wp:inline xmlns:a="http://schemas.openxmlformats.org/drawingml/2006/main" xmlns:pic="http://schemas.openxmlformats.org/drawingml/2006/picture">
            <wp:extent cx="6217920" cy="3273367"/>
            <wp:docPr id="2" name="Picture 2"/>
            <wp:cNvGraphicFramePr>
              <a:graphicFrameLocks noChangeAspect="1"/>
            </wp:cNvGraphicFramePr>
            <a:graphic>
              <a:graphicData uri="http://schemas.openxmlformats.org/drawingml/2006/picture">
                <pic:pic>
                  <pic:nvPicPr>
                    <pic:cNvPr id="0" name="imbalance.png"/>
                    <pic:cNvPicPr/>
                  </pic:nvPicPr>
                  <pic:blipFill>
                    <a:blip r:embed="rId11"/>
                    <a:stretch>
                      <a:fillRect/>
                    </a:stretch>
                  </pic:blipFill>
                  <pic:spPr>
                    <a:xfrm>
                      <a:off x="0" y="0"/>
                      <a:ext cx="6217920" cy="3273367"/>
                    </a:xfrm>
                    <a:prstGeom prst="rect"/>
                  </pic:spPr>
                </pic:pic>
              </a:graphicData>
            </a:graphic>
          </wp:inline>
        </w:drawing>
      </w:r>
    </w:p>
    <w:tbl>
      <w:tblPr>
        <w:tblW w:type="auto" w:w="0"/>
        <w:jc w:val="center"/>
        <w:tblLayout w:type="autofit"/>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15"/>
        <w:gridCol w:w="9648"/>
      </w:tblGrid>
      <w:tr>
        <w:tc>
          <w:tcPr>
            <w:tcW w:type="dxa" w:w="5141"/>
            <w:shd w:fill="F59E0B"/>
          </w:tcPr>
          <w:p/>
        </w:tc>
        <w:tc>
          <w:tcPr>
            <w:tcW w:type="dxa" w:w="5141"/>
            <w:shd w:fill="FFF7E6"/>
          </w:tcPr>
          <w:p>
            <w:r/>
            <w:r>
              <w:rPr>
                <w:b/>
                <w:color w:val="0B1F3A"/>
                <w:sz w:val="22"/>
              </w:rPr>
              <w:t>Why 96.6% accuracy can be useless</w:t>
            </w:r>
          </w:p>
          <w:p>
            <w:pPr>
              <w:spacing w:after="40"/>
            </w:pPr>
            <w:r>
              <w:t>Because only 3.39% of observations are failures, predicting “normal” every time achieves 96.6% accuracy and 0% failure recall. The project therefore focused on precision, recall, F1, ROC-AUC and PR-AUC.</w:t>
            </w:r>
          </w:p>
        </w:tc>
      </w:tr>
    </w:tbl>
    <w:p>
      <w:pPr>
        <w:spacing w:after="20"/>
      </w:pPr>
    </w:p>
    <w:p>
      <w:pPr>
        <w:pStyle w:val="Heading2"/>
        <w:spacing w:before="120" w:after="60"/>
      </w:pPr>
      <w:r>
        <w:t>Business interpretation of the core metrics</w:t>
      </w:r>
    </w:p>
    <w:tbl>
      <w:tblPr>
        <w:tblW w:type="auto" w:w="0"/>
        <w:jc w:val="center"/>
        <w:tblLayout w:type="autofit"/>
        <w:tblLook w:firstColumn="1" w:firstRow="1" w:lastColumn="0" w:lastRow="0" w:noHBand="0" w:noVBand="1" w:val="04A0"/>
        <w:tblBorders>
          <w:top w:val="single" w:sz="4" w:color="D7E3F3"/>
          <w:left w:val="single" w:sz="4" w:color="D7E3F3"/>
          <w:bottom w:val="single" w:sz="4" w:color="D7E3F3"/>
          <w:right w:val="single" w:sz="4" w:color="D7E3F3"/>
          <w:insideH w:val="single" w:sz="4" w:color="D7E3F3"/>
          <w:insideV w:val="single" w:sz="4" w:color="D7E3F3"/>
        </w:tblBorders>
      </w:tblPr>
      <w:tblGrid>
        <w:gridCol w:w="3427"/>
        <w:gridCol w:w="3427"/>
        <w:gridCol w:w="3427"/>
      </w:tblGrid>
      <w:tr>
        <w:tc>
          <w:tcPr>
            <w:tcW w:type="dxa" w:w="3427"/>
            <w:shd w:fill="0B1F3A"/>
          </w:tcPr>
          <w:p>
            <w:r/>
            <w:r>
              <w:rPr>
                <w:b/>
                <w:color w:val="FFFFFF"/>
                <w:sz w:val="16"/>
              </w:rPr>
              <w:t>Metric</w:t>
            </w:r>
          </w:p>
        </w:tc>
        <w:tc>
          <w:tcPr>
            <w:tcW w:type="dxa" w:w="3427"/>
            <w:shd w:fill="0B1F3A"/>
          </w:tcPr>
          <w:p>
            <w:r/>
            <w:r>
              <w:rPr>
                <w:b/>
                <w:color w:val="FFFFFF"/>
                <w:sz w:val="16"/>
              </w:rPr>
              <w:t>Plain-English meaning</w:t>
            </w:r>
          </w:p>
        </w:tc>
        <w:tc>
          <w:tcPr>
            <w:tcW w:type="dxa" w:w="3427"/>
            <w:shd w:fill="0B1F3A"/>
          </w:tcPr>
          <w:p>
            <w:r/>
            <w:r>
              <w:rPr>
                <w:b/>
                <w:color w:val="FFFFFF"/>
                <w:sz w:val="16"/>
              </w:rPr>
              <w:t>Decision relevance</w:t>
            </w:r>
          </w:p>
        </w:tc>
      </w:tr>
      <w:tr>
        <w:tc>
          <w:tcPr>
            <w:tcW w:type="dxa" w:w="3427"/>
            <w:shd w:fill="F8FBFF"/>
          </w:tcPr>
          <w:p>
            <w:r/>
            <w:r>
              <w:rPr>
                <w:color w:val="172033"/>
                <w:sz w:val="16"/>
              </w:rPr>
              <w:t>Precision</w:t>
            </w:r>
          </w:p>
        </w:tc>
        <w:tc>
          <w:tcPr>
            <w:tcW w:type="dxa" w:w="3427"/>
            <w:shd w:fill="F8FBFF"/>
          </w:tcPr>
          <w:p>
            <w:r/>
            <w:r>
              <w:rPr>
                <w:color w:val="172033"/>
                <w:sz w:val="16"/>
              </w:rPr>
              <w:t>Of all failure alerts, how many were truly failures?</w:t>
            </w:r>
          </w:p>
        </w:tc>
        <w:tc>
          <w:tcPr>
            <w:tcW w:type="dxa" w:w="3427"/>
            <w:shd w:fill="F8FBFF"/>
          </w:tcPr>
          <w:p>
            <w:r/>
            <w:r>
              <w:rPr>
                <w:color w:val="172033"/>
                <w:sz w:val="16"/>
              </w:rPr>
              <w:t>Controls unnecessary inspection burden.</w:t>
            </w:r>
          </w:p>
        </w:tc>
      </w:tr>
      <w:tr>
        <w:tc>
          <w:tcPr>
            <w:tcW w:type="dxa" w:w="3427"/>
          </w:tcPr>
          <w:p>
            <w:r/>
            <w:r>
              <w:rPr>
                <w:color w:val="172033"/>
                <w:sz w:val="16"/>
              </w:rPr>
              <w:t>Recall</w:t>
            </w:r>
          </w:p>
        </w:tc>
        <w:tc>
          <w:tcPr>
            <w:tcW w:type="dxa" w:w="3427"/>
          </w:tcPr>
          <w:p>
            <w:r/>
            <w:r>
              <w:rPr>
                <w:color w:val="172033"/>
                <w:sz w:val="16"/>
              </w:rPr>
              <w:t>Of all actual failures, how many did we catch?</w:t>
            </w:r>
          </w:p>
        </w:tc>
        <w:tc>
          <w:tcPr>
            <w:tcW w:type="dxa" w:w="3427"/>
          </w:tcPr>
          <w:p>
            <w:r/>
            <w:r>
              <w:rPr>
                <w:color w:val="172033"/>
                <w:sz w:val="16"/>
              </w:rPr>
              <w:t>Controls missed-failure risk.</w:t>
            </w:r>
          </w:p>
        </w:tc>
      </w:tr>
      <w:tr>
        <w:tc>
          <w:tcPr>
            <w:tcW w:type="dxa" w:w="3427"/>
            <w:shd w:fill="F8FBFF"/>
          </w:tcPr>
          <w:p>
            <w:r/>
            <w:r>
              <w:rPr>
                <w:color w:val="172033"/>
                <w:sz w:val="16"/>
              </w:rPr>
              <w:t>F1</w:t>
            </w:r>
          </w:p>
        </w:tc>
        <w:tc>
          <w:tcPr>
            <w:tcW w:type="dxa" w:w="3427"/>
            <w:shd w:fill="F8FBFF"/>
          </w:tcPr>
          <w:p>
            <w:r/>
            <w:r>
              <w:rPr>
                <w:color w:val="172033"/>
                <w:sz w:val="16"/>
              </w:rPr>
              <w:t>Balance between precision and recall.</w:t>
            </w:r>
          </w:p>
        </w:tc>
        <w:tc>
          <w:tcPr>
            <w:tcW w:type="dxa" w:w="3427"/>
            <w:shd w:fill="F8FBFF"/>
          </w:tcPr>
          <w:p>
            <w:r/>
            <w:r>
              <w:rPr>
                <w:color w:val="172033"/>
                <w:sz w:val="16"/>
              </w:rPr>
              <w:t>Useful when both error types matter.</w:t>
            </w:r>
          </w:p>
        </w:tc>
      </w:tr>
      <w:tr>
        <w:tc>
          <w:tcPr>
            <w:tcW w:type="dxa" w:w="3427"/>
          </w:tcPr>
          <w:p>
            <w:r/>
            <w:r>
              <w:rPr>
                <w:color w:val="172033"/>
                <w:sz w:val="16"/>
              </w:rPr>
              <w:t>PR-AUC</w:t>
            </w:r>
          </w:p>
        </w:tc>
        <w:tc>
          <w:tcPr>
            <w:tcW w:type="dxa" w:w="3427"/>
          </w:tcPr>
          <w:p>
            <w:r/>
            <w:r>
              <w:rPr>
                <w:color w:val="172033"/>
                <w:sz w:val="16"/>
              </w:rPr>
              <w:t>Performance across precision-recall trade-offs.</w:t>
            </w:r>
          </w:p>
        </w:tc>
        <w:tc>
          <w:tcPr>
            <w:tcW w:type="dxa" w:w="3427"/>
          </w:tcPr>
          <w:p>
            <w:r/>
            <w:r>
              <w:rPr>
                <w:color w:val="172033"/>
                <w:sz w:val="16"/>
              </w:rPr>
              <w:t>Well suited to rare-event problems.</w:t>
            </w:r>
          </w:p>
        </w:tc>
      </w:tr>
      <w:tr>
        <w:tc>
          <w:tcPr>
            <w:tcW w:type="dxa" w:w="3427"/>
            <w:shd w:fill="F8FBFF"/>
          </w:tcPr>
          <w:p>
            <w:r/>
            <w:r>
              <w:rPr>
                <w:color w:val="172033"/>
                <w:sz w:val="16"/>
              </w:rPr>
              <w:t>ROC-AUC</w:t>
            </w:r>
          </w:p>
        </w:tc>
        <w:tc>
          <w:tcPr>
            <w:tcW w:type="dxa" w:w="3427"/>
            <w:shd w:fill="F8FBFF"/>
          </w:tcPr>
          <w:p>
            <w:r/>
            <w:r>
              <w:rPr>
                <w:color w:val="172033"/>
                <w:sz w:val="16"/>
              </w:rPr>
              <w:t>Ability to rank failures above normal states.</w:t>
            </w:r>
          </w:p>
        </w:tc>
        <w:tc>
          <w:tcPr>
            <w:tcW w:type="dxa" w:w="3427"/>
            <w:shd w:fill="F8FBFF"/>
          </w:tcPr>
          <w:p>
            <w:r/>
            <w:r>
              <w:rPr>
                <w:color w:val="172033"/>
                <w:sz w:val="16"/>
              </w:rPr>
              <w:t>Useful for comparing discrimination across thresholds.</w:t>
            </w:r>
          </w:p>
        </w:tc>
      </w:tr>
    </w:tbl>
    <w:p>
      <w:pPr>
        <w:spacing w:after="40"/>
      </w:pPr>
    </w:p>
    <w:p>
      <w:r>
        <w:rPr>
          <w:b/>
          <w:color w:val="12A8E0"/>
          <w:sz w:val="18"/>
        </w:rPr>
        <w:t>EVIDENCE FIRST</w:t>
      </w:r>
    </w:p>
    <w:p>
      <w:pPr>
        <w:spacing w:after="80"/>
      </w:pPr>
      <w:r>
        <w:rPr>
          <w:b/>
          <w:color w:val="0B1F3A"/>
          <w:sz w:val="56"/>
        </w:rPr>
        <w:t>3. Data quality, leakage control, and operating signal discovery</w:t>
      </w:r>
    </w:p>
    <w:p>
      <w:pPr>
        <w:spacing w:after="200"/>
      </w:pPr>
      <w:r>
        <w:rPr>
          <w:color w:val="5B6678"/>
          <w:sz w:val="24"/>
        </w:rPr>
        <w:t>The analysis established trust in the inputs before comparing algorithms.</w:t>
      </w:r>
    </w:p>
    <w:tbl>
      <w:tblPr>
        <w:tblW w:type="auto" w:w="0"/>
        <w:jc w:val="center"/>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570"/>
        <w:gridCol w:w="2570"/>
        <w:gridCol w:w="2570"/>
        <w:gridCol w:w="2570"/>
      </w:tblGrid>
      <w:tr>
        <w:tc>
          <w:tcPr>
            <w:tcW w:type="dxa" w:w="2570"/>
            <w:shd w:fill="F4F8FD"/>
          </w:tcPr>
          <w:p>
            <w:pPr>
              <w:jc w:val="center"/>
            </w:pPr>
            <w:r/>
            <w:r>
              <w:rPr>
                <w:b/>
                <w:color w:val="1769E0"/>
                <w:sz w:val="40"/>
              </w:rPr>
              <w:t>0</w:t>
            </w:r>
          </w:p>
          <w:p>
            <w:pPr>
              <w:jc w:val="center"/>
            </w:pPr>
            <w:r>
              <w:rPr>
                <w:color w:val="5B6678"/>
                <w:sz w:val="15"/>
              </w:rPr>
              <w:t>missing values</w:t>
            </w:r>
          </w:p>
        </w:tc>
        <w:tc>
          <w:tcPr>
            <w:tcW w:type="dxa" w:w="2570"/>
            <w:shd w:fill="F4F8FD"/>
          </w:tcPr>
          <w:p>
            <w:pPr>
              <w:jc w:val="center"/>
            </w:pPr>
            <w:r/>
            <w:r>
              <w:rPr>
                <w:b/>
                <w:color w:val="1769E0"/>
                <w:sz w:val="40"/>
              </w:rPr>
              <w:t>0</w:t>
            </w:r>
          </w:p>
          <w:p>
            <w:pPr>
              <w:jc w:val="center"/>
            </w:pPr>
            <w:r>
              <w:rPr>
                <w:color w:val="5B6678"/>
                <w:sz w:val="15"/>
              </w:rPr>
              <w:t>duplicate rows</w:t>
            </w:r>
          </w:p>
        </w:tc>
        <w:tc>
          <w:tcPr>
            <w:tcW w:type="dxa" w:w="2570"/>
            <w:shd w:fill="F4F8FD"/>
          </w:tcPr>
          <w:p>
            <w:pPr>
              <w:jc w:val="center"/>
            </w:pPr>
            <w:r/>
            <w:r>
              <w:rPr>
                <w:b/>
                <w:color w:val="1769E0"/>
                <w:sz w:val="40"/>
              </w:rPr>
              <w:t>5</w:t>
            </w:r>
          </w:p>
          <w:p>
            <w:pPr>
              <w:jc w:val="center"/>
            </w:pPr>
            <w:r>
              <w:rPr>
                <w:color w:val="5B6678"/>
                <w:sz w:val="15"/>
              </w:rPr>
              <w:t>failure-mode flags excluded</w:t>
            </w:r>
          </w:p>
        </w:tc>
        <w:tc>
          <w:tcPr>
            <w:tcW w:type="dxa" w:w="2570"/>
            <w:shd w:fill="F4F8FD"/>
          </w:tcPr>
          <w:p>
            <w:pPr>
              <w:jc w:val="center"/>
            </w:pPr>
            <w:r/>
            <w:r>
              <w:rPr>
                <w:b/>
                <w:color w:val="1769E0"/>
                <w:sz w:val="40"/>
              </w:rPr>
              <w:t>3</w:t>
            </w:r>
          </w:p>
          <w:p>
            <w:pPr>
              <w:jc w:val="center"/>
            </w:pPr>
            <w:r>
              <w:rPr>
                <w:color w:val="5B6678"/>
                <w:sz w:val="15"/>
              </w:rPr>
              <w:t>engineered operating signals</w:t>
            </w:r>
          </w:p>
        </w:tc>
      </w:tr>
    </w:tbl>
    <w:p>
      <w:pPr>
        <w:spacing w:after="40"/>
      </w:pPr>
    </w:p>
    <w:p>
      <w:pPr>
        <w:pStyle w:val="Heading2"/>
        <w:spacing w:before="120" w:after="60"/>
      </w:pPr>
      <w:r>
        <w:t>Observed operating differences</w:t>
      </w:r>
    </w:p>
    <w:tbl>
      <w:tblPr>
        <w:tblW w:type="auto" w:w="0"/>
        <w:jc w:val="center"/>
        <w:tblLayout w:type="autofit"/>
        <w:tblLook w:firstColumn="1" w:firstRow="1" w:lastColumn="0" w:lastRow="0" w:noHBand="0" w:noVBand="1" w:val="04A0"/>
        <w:tblBorders>
          <w:top w:val="single" w:sz="4" w:color="D7E3F3"/>
          <w:left w:val="single" w:sz="4" w:color="D7E3F3"/>
          <w:bottom w:val="single" w:sz="4" w:color="D7E3F3"/>
          <w:right w:val="single" w:sz="4" w:color="D7E3F3"/>
          <w:insideH w:val="single" w:sz="4" w:color="D7E3F3"/>
          <w:insideV w:val="single" w:sz="4" w:color="D7E3F3"/>
        </w:tblBorders>
      </w:tblPr>
      <w:tblGrid>
        <w:gridCol w:w="2570"/>
        <w:gridCol w:w="2570"/>
        <w:gridCol w:w="2570"/>
        <w:gridCol w:w="2570"/>
      </w:tblGrid>
      <w:tr>
        <w:tc>
          <w:tcPr>
            <w:tcW w:type="dxa" w:w="2570"/>
            <w:shd w:fill="0B1F3A"/>
          </w:tcPr>
          <w:p>
            <w:r/>
            <w:r>
              <w:rPr>
                <w:b/>
                <w:color w:val="FFFFFF"/>
                <w:sz w:val="16"/>
              </w:rPr>
              <w:t>Signal</w:t>
            </w:r>
          </w:p>
        </w:tc>
        <w:tc>
          <w:tcPr>
            <w:tcW w:type="dxa" w:w="2570"/>
            <w:shd w:fill="0B1F3A"/>
          </w:tcPr>
          <w:p>
            <w:r/>
            <w:r>
              <w:rPr>
                <w:b/>
                <w:color w:val="FFFFFF"/>
                <w:sz w:val="16"/>
              </w:rPr>
              <w:t>Normal</w:t>
            </w:r>
          </w:p>
        </w:tc>
        <w:tc>
          <w:tcPr>
            <w:tcW w:type="dxa" w:w="2570"/>
            <w:shd w:fill="0B1F3A"/>
          </w:tcPr>
          <w:p>
            <w:r/>
            <w:r>
              <w:rPr>
                <w:b/>
                <w:color w:val="FFFFFF"/>
                <w:sz w:val="16"/>
              </w:rPr>
              <w:t>Failure</w:t>
            </w:r>
          </w:p>
        </w:tc>
        <w:tc>
          <w:tcPr>
            <w:tcW w:type="dxa" w:w="2570"/>
            <w:shd w:fill="0B1F3A"/>
          </w:tcPr>
          <w:p>
            <w:r/>
            <w:r>
              <w:rPr>
                <w:b/>
                <w:color w:val="FFFFFF"/>
                <w:sz w:val="16"/>
              </w:rPr>
              <w:t>Observed pattern</w:t>
            </w:r>
          </w:p>
        </w:tc>
      </w:tr>
      <w:tr>
        <w:tc>
          <w:tcPr>
            <w:tcW w:type="dxa" w:w="2570"/>
            <w:shd w:fill="F8FBFF"/>
          </w:tcPr>
          <w:p>
            <w:r/>
            <w:r>
              <w:rPr>
                <w:color w:val="172033"/>
                <w:sz w:val="16"/>
              </w:rPr>
              <w:t>Torque</w:t>
            </w:r>
          </w:p>
        </w:tc>
        <w:tc>
          <w:tcPr>
            <w:tcW w:type="dxa" w:w="2570"/>
            <w:shd w:fill="F8FBFF"/>
          </w:tcPr>
          <w:p>
            <w:r/>
            <w:r>
              <w:rPr>
                <w:color w:val="172033"/>
                <w:sz w:val="16"/>
              </w:rPr>
              <w:t>39.6 Nm mean</w:t>
            </w:r>
          </w:p>
        </w:tc>
        <w:tc>
          <w:tcPr>
            <w:tcW w:type="dxa" w:w="2570"/>
            <w:shd w:fill="F8FBFF"/>
          </w:tcPr>
          <w:p>
            <w:r/>
            <w:r>
              <w:rPr>
                <w:color w:val="172033"/>
                <w:sz w:val="16"/>
              </w:rPr>
              <w:t>50.2 Nm mean</w:t>
            </w:r>
          </w:p>
        </w:tc>
        <w:tc>
          <w:tcPr>
            <w:tcW w:type="dxa" w:w="2570"/>
            <w:shd w:fill="F8FBFF"/>
          </w:tcPr>
          <w:p>
            <w:r/>
            <w:r>
              <w:rPr>
                <w:color w:val="172033"/>
                <w:sz w:val="16"/>
              </w:rPr>
              <w:t>Higher load in failure observations</w:t>
            </w:r>
          </w:p>
        </w:tc>
      </w:tr>
      <w:tr>
        <w:tc>
          <w:tcPr>
            <w:tcW w:type="dxa" w:w="2570"/>
          </w:tcPr>
          <w:p>
            <w:r/>
            <w:r>
              <w:rPr>
                <w:color w:val="172033"/>
                <w:sz w:val="16"/>
              </w:rPr>
              <w:t>Tool wear</w:t>
            </w:r>
          </w:p>
        </w:tc>
        <w:tc>
          <w:tcPr>
            <w:tcW w:type="dxa" w:w="2570"/>
          </w:tcPr>
          <w:p>
            <w:r/>
            <w:r>
              <w:rPr>
                <w:color w:val="172033"/>
                <w:sz w:val="16"/>
              </w:rPr>
              <w:t>106.7 min mean</w:t>
            </w:r>
          </w:p>
        </w:tc>
        <w:tc>
          <w:tcPr>
            <w:tcW w:type="dxa" w:w="2570"/>
          </w:tcPr>
          <w:p>
            <w:r/>
            <w:r>
              <w:rPr>
                <w:color w:val="172033"/>
                <w:sz w:val="16"/>
              </w:rPr>
              <w:t>143.8 min mean</w:t>
            </w:r>
          </w:p>
        </w:tc>
        <w:tc>
          <w:tcPr>
            <w:tcW w:type="dxa" w:w="2570"/>
          </w:tcPr>
          <w:p>
            <w:r/>
            <w:r>
              <w:rPr>
                <w:color w:val="172033"/>
                <w:sz w:val="16"/>
              </w:rPr>
              <w:t>More accumulated wear</w:t>
            </w:r>
          </w:p>
        </w:tc>
      </w:tr>
      <w:tr>
        <w:tc>
          <w:tcPr>
            <w:tcW w:type="dxa" w:w="2570"/>
            <w:shd w:fill="F8FBFF"/>
          </w:tcPr>
          <w:p>
            <w:r/>
            <w:r>
              <w:rPr>
                <w:color w:val="172033"/>
                <w:sz w:val="16"/>
              </w:rPr>
              <w:t>Rotational speed</w:t>
            </w:r>
          </w:p>
        </w:tc>
        <w:tc>
          <w:tcPr>
            <w:tcW w:type="dxa" w:w="2570"/>
            <w:shd w:fill="F8FBFF"/>
          </w:tcPr>
          <w:p>
            <w:r/>
            <w:r>
              <w:rPr>
                <w:color w:val="172033"/>
                <w:sz w:val="16"/>
              </w:rPr>
              <w:t>1,507 rpm median</w:t>
            </w:r>
          </w:p>
        </w:tc>
        <w:tc>
          <w:tcPr>
            <w:tcW w:type="dxa" w:w="2570"/>
            <w:shd w:fill="F8FBFF"/>
          </w:tcPr>
          <w:p>
            <w:r/>
            <w:r>
              <w:rPr>
                <w:color w:val="172033"/>
                <w:sz w:val="16"/>
              </w:rPr>
              <w:t>1,365 rpm median</w:t>
            </w:r>
          </w:p>
        </w:tc>
        <w:tc>
          <w:tcPr>
            <w:tcW w:type="dxa" w:w="2570"/>
            <w:shd w:fill="F8FBFF"/>
          </w:tcPr>
          <w:p>
            <w:r/>
            <w:r>
              <w:rPr>
                <w:color w:val="172033"/>
                <w:sz w:val="16"/>
              </w:rPr>
              <w:t>Lower median RPM in failures</w:t>
            </w:r>
          </w:p>
        </w:tc>
      </w:tr>
      <w:tr>
        <w:tc>
          <w:tcPr>
            <w:tcW w:type="dxa" w:w="2570"/>
          </w:tcPr>
          <w:p>
            <w:r/>
            <w:r>
              <w:rPr>
                <w:color w:val="172033"/>
                <w:sz w:val="16"/>
              </w:rPr>
              <w:t>Type L failure rate</w:t>
            </w:r>
          </w:p>
        </w:tc>
        <w:tc>
          <w:tcPr>
            <w:tcW w:type="dxa" w:w="2570"/>
          </w:tcPr>
          <w:p>
            <w:r/>
            <w:r>
              <w:rPr>
                <w:color w:val="172033"/>
                <w:sz w:val="16"/>
              </w:rPr>
              <w:t>-</w:t>
            </w:r>
          </w:p>
        </w:tc>
        <w:tc>
          <w:tcPr>
            <w:tcW w:type="dxa" w:w="2570"/>
          </w:tcPr>
          <w:p>
            <w:r/>
            <w:r>
              <w:rPr>
                <w:color w:val="172033"/>
                <w:sz w:val="16"/>
              </w:rPr>
              <w:t>3.92%</w:t>
            </w:r>
          </w:p>
        </w:tc>
        <w:tc>
          <w:tcPr>
            <w:tcW w:type="dxa" w:w="2570"/>
          </w:tcPr>
          <w:p>
            <w:r/>
            <w:r>
              <w:rPr>
                <w:color w:val="172033"/>
                <w:sz w:val="16"/>
              </w:rPr>
              <w:t>Highest observed type-specific rate</w:t>
            </w:r>
          </w:p>
        </w:tc>
      </w:tr>
    </w:tbl>
    <w:p>
      <w:pPr>
        <w:spacing w:after="40"/>
      </w:pPr>
    </w:p>
    <w:p>
      <w:pPr>
        <w:pStyle w:val="Heading2"/>
        <w:spacing w:before="120" w:after="60"/>
      </w:pPr>
      <w:r>
        <w:t>Target leakage prevention</w:t>
      </w:r>
    </w:p>
    <w:tbl>
      <w:tblPr>
        <w:tblW w:type="auto" w:w="0"/>
        <w:jc w:val="center"/>
        <w:tblLayout w:type="autofit"/>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15"/>
        <w:gridCol w:w="9648"/>
      </w:tblGrid>
      <w:tr>
        <w:tc>
          <w:tcPr>
            <w:tcW w:type="dxa" w:w="5141"/>
            <w:shd w:fill="E44D5E"/>
          </w:tcPr>
          <w:p/>
        </w:tc>
        <w:tc>
          <w:tcPr>
            <w:tcW w:type="dxa" w:w="5141"/>
            <w:shd w:fill="FDEFF1"/>
          </w:tcPr>
          <w:p>
            <w:r/>
            <w:r>
              <w:rPr>
                <w:b/>
                <w:color w:val="0B1F3A"/>
                <w:sz w:val="22"/>
              </w:rPr>
              <w:t>Critical modeling control</w:t>
            </w:r>
          </w:p>
          <w:p>
            <w:pPr>
              <w:spacing w:after="40"/>
            </w:pPr>
            <w:r>
              <w:t>TWF, HDF, PWF, OSF and RNF were excluded from predictors because they directly describe failure outcomes. Including them would make the model look stronger than it could be in real use.</w:t>
            </w:r>
          </w:p>
        </w:tc>
      </w:tr>
    </w:tbl>
    <w:p>
      <w:pPr>
        <w:spacing w:after="20"/>
      </w:pPr>
    </w:p>
    <w:p>
      <w:pPr>
        <w:pStyle w:val="Heading2"/>
        <w:spacing w:before="120" w:after="60"/>
      </w:pPr>
      <w:r>
        <w:t>Feature engineering with operating meaning</w:t>
      </w:r>
    </w:p>
    <w:p>
      <w:pPr>
        <w:pStyle w:val="ListBullet"/>
        <w:spacing w:after="40"/>
        <w:ind w:left="317"/>
      </w:pPr>
      <w:r>
        <w:t>Temperature difference = process temperature - air temperature.</w:t>
      </w:r>
    </w:p>
    <w:p>
      <w:pPr>
        <w:pStyle w:val="ListBullet"/>
        <w:spacing w:after="40"/>
        <w:ind w:left="317"/>
      </w:pPr>
      <w:r>
        <w:t>Mechanical power = torque × angular velocity.</w:t>
      </w:r>
    </w:p>
    <w:p>
      <w:pPr>
        <w:pStyle w:val="ListBullet"/>
        <w:spacing w:after="40"/>
        <w:ind w:left="317"/>
      </w:pPr>
      <w:r>
        <w:t>Tool-wear load = tool wear × torque.</w:t>
      </w:r>
    </w:p>
    <w:p>
      <w:pPr>
        <w:pStyle w:val="ListBullet"/>
        <w:spacing w:after="40"/>
        <w:ind w:left="317"/>
      </w:pPr>
      <w:r>
        <w:t>Engineered signals were evaluated empirically rather than assumed to improve performance.</w:t>
      </w:r>
    </w:p>
    <w:p>
      <w:r>
        <w:rPr>
          <w:b/>
          <w:color w:val="12A8E0"/>
          <w:sz w:val="18"/>
        </w:rPr>
        <w:t>MODEL TOURNAMENT</w:t>
      </w:r>
    </w:p>
    <w:p>
      <w:pPr>
        <w:spacing w:after="80"/>
      </w:pPr>
      <w:r>
        <w:rPr>
          <w:b/>
          <w:color w:val="0B1F3A"/>
          <w:sz w:val="56"/>
        </w:rPr>
        <w:t>4. How the model was selected</w:t>
      </w:r>
    </w:p>
    <w:p>
      <w:pPr>
        <w:spacing w:after="200"/>
      </w:pPr>
      <w:r>
        <w:rPr>
          <w:color w:val="5B6678"/>
          <w:sz w:val="24"/>
        </w:rPr>
        <w:t>Seven configurations were compared under a consistent train/test split and metric framework.</w:t>
      </w:r>
    </w:p>
    <w:p>
      <w:pPr>
        <w:jc w:val="center"/>
      </w:pPr>
      <w:r>
        <w:drawing>
          <wp:inline xmlns:a="http://schemas.openxmlformats.org/drawingml/2006/main" xmlns:pic="http://schemas.openxmlformats.org/drawingml/2006/picture">
            <wp:extent cx="6400800" cy="3597292"/>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6400800" cy="3597292"/>
                    </a:xfrm>
                    <a:prstGeom prst="rect"/>
                  </pic:spPr>
                </pic:pic>
              </a:graphicData>
            </a:graphic>
          </wp:inline>
        </w:drawing>
      </w:r>
    </w:p>
    <w:tbl>
      <w:tblPr>
        <w:tblW w:type="auto" w:w="0"/>
        <w:jc w:val="center"/>
        <w:tblLayout w:type="autofit"/>
        <w:tblLook w:firstColumn="1" w:firstRow="1" w:lastColumn="0" w:lastRow="0" w:noHBand="0" w:noVBand="1" w:val="04A0"/>
        <w:tblBorders>
          <w:top w:val="single" w:sz="4" w:color="D7E3F3"/>
          <w:left w:val="single" w:sz="4" w:color="D7E3F3"/>
          <w:bottom w:val="single" w:sz="4" w:color="D7E3F3"/>
          <w:right w:val="single" w:sz="4" w:color="D7E3F3"/>
          <w:insideH w:val="single" w:sz="4" w:color="D7E3F3"/>
          <w:insideV w:val="single" w:sz="4" w:color="D7E3F3"/>
        </w:tblBorders>
      </w:tblPr>
      <w:tblGrid>
        <w:gridCol w:w="3427"/>
        <w:gridCol w:w="3427"/>
        <w:gridCol w:w="3427"/>
      </w:tblGrid>
      <w:tr>
        <w:tc>
          <w:tcPr>
            <w:tcW w:type="dxa" w:w="3427"/>
            <w:shd w:fill="0B1F3A"/>
          </w:tcPr>
          <w:p>
            <w:r/>
            <w:r>
              <w:rPr>
                <w:b/>
                <w:color w:val="FFFFFF"/>
                <w:sz w:val="16"/>
              </w:rPr>
              <w:t>Model</w:t>
            </w:r>
          </w:p>
        </w:tc>
        <w:tc>
          <w:tcPr>
            <w:tcW w:type="dxa" w:w="3427"/>
            <w:shd w:fill="0B1F3A"/>
          </w:tcPr>
          <w:p>
            <w:r/>
            <w:r>
              <w:rPr>
                <w:b/>
                <w:color w:val="FFFFFF"/>
                <w:sz w:val="16"/>
              </w:rPr>
              <w:t>Key result</w:t>
            </w:r>
          </w:p>
        </w:tc>
        <w:tc>
          <w:tcPr>
            <w:tcW w:type="dxa" w:w="3427"/>
            <w:shd w:fill="0B1F3A"/>
          </w:tcPr>
          <w:p>
            <w:r/>
            <w:r>
              <w:rPr>
                <w:b/>
                <w:color w:val="FFFFFF"/>
                <w:sz w:val="16"/>
              </w:rPr>
              <w:t>Decision</w:t>
            </w:r>
          </w:p>
        </w:tc>
      </w:tr>
      <w:tr>
        <w:tc>
          <w:tcPr>
            <w:tcW w:type="dxa" w:w="3427"/>
            <w:shd w:fill="F8FBFF"/>
          </w:tcPr>
          <w:p>
            <w:r/>
            <w:r>
              <w:rPr>
                <w:color w:val="172033"/>
                <w:sz w:val="16"/>
              </w:rPr>
              <w:t>Naive baseline</w:t>
            </w:r>
          </w:p>
        </w:tc>
        <w:tc>
          <w:tcPr>
            <w:tcW w:type="dxa" w:w="3427"/>
            <w:shd w:fill="F8FBFF"/>
          </w:tcPr>
          <w:p>
            <w:r/>
            <w:r>
              <w:rPr>
                <w:color w:val="172033"/>
                <w:sz w:val="16"/>
              </w:rPr>
              <w:t>96.6% accuracy; 0% recall</w:t>
            </w:r>
          </w:p>
        </w:tc>
        <w:tc>
          <w:tcPr>
            <w:tcW w:type="dxa" w:w="3427"/>
            <w:shd w:fill="F8FBFF"/>
          </w:tcPr>
          <w:p>
            <w:r/>
            <w:r>
              <w:rPr>
                <w:color w:val="172033"/>
                <w:sz w:val="16"/>
              </w:rPr>
              <w:t>Reject accuracy as a primary KPI</w:t>
            </w:r>
          </w:p>
        </w:tc>
      </w:tr>
      <w:tr>
        <w:tc>
          <w:tcPr>
            <w:tcW w:type="dxa" w:w="3427"/>
          </w:tcPr>
          <w:p>
            <w:r/>
            <w:r>
              <w:rPr>
                <w:color w:val="172033"/>
                <w:sz w:val="16"/>
              </w:rPr>
              <w:t>Logistic Regression</w:t>
            </w:r>
          </w:p>
        </w:tc>
        <w:tc>
          <w:tcPr>
            <w:tcW w:type="dxa" w:w="3427"/>
          </w:tcPr>
          <w:p>
            <w:r/>
            <w:r>
              <w:rPr>
                <w:color w:val="172033"/>
                <w:sz w:val="16"/>
              </w:rPr>
              <w:t>57.1% precision; 17.6% recall</w:t>
            </w:r>
          </w:p>
        </w:tc>
        <w:tc>
          <w:tcPr>
            <w:tcW w:type="dxa" w:w="3427"/>
          </w:tcPr>
          <w:p>
            <w:r/>
            <w:r>
              <w:rPr>
                <w:color w:val="172033"/>
                <w:sz w:val="16"/>
              </w:rPr>
              <w:t>Too conservative</w:t>
            </w:r>
          </w:p>
        </w:tc>
      </w:tr>
      <w:tr>
        <w:tc>
          <w:tcPr>
            <w:tcW w:type="dxa" w:w="3427"/>
            <w:shd w:fill="F8FBFF"/>
          </w:tcPr>
          <w:p>
            <w:r/>
            <w:r>
              <w:rPr>
                <w:color w:val="172033"/>
                <w:sz w:val="16"/>
              </w:rPr>
              <w:t>Balanced Logistic</w:t>
            </w:r>
          </w:p>
        </w:tc>
        <w:tc>
          <w:tcPr>
            <w:tcW w:type="dxa" w:w="3427"/>
            <w:shd w:fill="F8FBFF"/>
          </w:tcPr>
          <w:p>
            <w:r/>
            <w:r>
              <w:rPr>
                <w:color w:val="172033"/>
                <w:sz w:val="16"/>
              </w:rPr>
              <w:t>88.2% recall; 17.9% precision</w:t>
            </w:r>
          </w:p>
        </w:tc>
        <w:tc>
          <w:tcPr>
            <w:tcW w:type="dxa" w:w="3427"/>
            <w:shd w:fill="F8FBFF"/>
          </w:tcPr>
          <w:p>
            <w:r/>
            <w:r>
              <w:rPr>
                <w:color w:val="172033"/>
                <w:sz w:val="16"/>
              </w:rPr>
              <w:t>Too many false alerts</w:t>
            </w:r>
          </w:p>
        </w:tc>
      </w:tr>
      <w:tr>
        <w:tc>
          <w:tcPr>
            <w:tcW w:type="dxa" w:w="3427"/>
          </w:tcPr>
          <w:p>
            <w:r/>
            <w:r>
              <w:rPr>
                <w:color w:val="172033"/>
                <w:sz w:val="16"/>
              </w:rPr>
              <w:t>Random Forest</w:t>
            </w:r>
          </w:p>
        </w:tc>
        <w:tc>
          <w:tcPr>
            <w:tcW w:type="dxa" w:w="3427"/>
          </w:tcPr>
          <w:p>
            <w:r/>
            <w:r>
              <w:rPr>
                <w:color w:val="172033"/>
                <w:sz w:val="16"/>
              </w:rPr>
              <w:t>96.5% precision; 80.9% recall; F1 88.0%</w:t>
            </w:r>
          </w:p>
        </w:tc>
        <w:tc>
          <w:tcPr>
            <w:tcW w:type="dxa" w:w="3427"/>
          </w:tcPr>
          <w:p>
            <w:r/>
            <w:r>
              <w:rPr>
                <w:color w:val="172033"/>
                <w:sz w:val="16"/>
              </w:rPr>
              <w:t>Leading candidate</w:t>
            </w:r>
          </w:p>
        </w:tc>
      </w:tr>
      <w:tr>
        <w:tc>
          <w:tcPr>
            <w:tcW w:type="dxa" w:w="3427"/>
            <w:shd w:fill="F8FBFF"/>
          </w:tcPr>
          <w:p>
            <w:r/>
            <w:r>
              <w:rPr>
                <w:color w:val="172033"/>
                <w:sz w:val="16"/>
              </w:rPr>
              <w:t>Balanced RF</w:t>
            </w:r>
          </w:p>
        </w:tc>
        <w:tc>
          <w:tcPr>
            <w:tcW w:type="dxa" w:w="3427"/>
            <w:shd w:fill="F8FBFF"/>
          </w:tcPr>
          <w:p>
            <w:r/>
            <w:r>
              <w:rPr>
                <w:color w:val="172033"/>
                <w:sz w:val="16"/>
              </w:rPr>
              <w:t>Recall fell to 72.1%</w:t>
            </w:r>
          </w:p>
        </w:tc>
        <w:tc>
          <w:tcPr>
            <w:tcW w:type="dxa" w:w="3427"/>
            <w:shd w:fill="F8FBFF"/>
          </w:tcPr>
          <w:p>
            <w:r/>
            <w:r>
              <w:rPr>
                <w:color w:val="172033"/>
                <w:sz w:val="16"/>
              </w:rPr>
              <w:t>Balancing hurt performance</w:t>
            </w:r>
          </w:p>
        </w:tc>
      </w:tr>
      <w:tr>
        <w:tc>
          <w:tcPr>
            <w:tcW w:type="dxa" w:w="3427"/>
          </w:tcPr>
          <w:p>
            <w:r/>
            <w:r>
              <w:rPr>
                <w:color w:val="172033"/>
                <w:sz w:val="16"/>
              </w:rPr>
              <w:t>XGBoost</w:t>
            </w:r>
          </w:p>
        </w:tc>
        <w:tc>
          <w:tcPr>
            <w:tcW w:type="dxa" w:w="3427"/>
          </w:tcPr>
          <w:p>
            <w:r/>
            <w:r>
              <w:rPr>
                <w:color w:val="172033"/>
                <w:sz w:val="16"/>
              </w:rPr>
              <w:t>ROC-AUC 98.6%; PR-AUC 89.1%</w:t>
            </w:r>
          </w:p>
        </w:tc>
        <w:tc>
          <w:tcPr>
            <w:tcW w:type="dxa" w:w="3427"/>
          </w:tcPr>
          <w:p>
            <w:r/>
            <w:r>
              <w:rPr>
                <w:color w:val="172033"/>
                <w:sz w:val="16"/>
              </w:rPr>
              <w:t>Strong challenger</w:t>
            </w:r>
          </w:p>
        </w:tc>
      </w:tr>
      <w:tr>
        <w:tc>
          <w:tcPr>
            <w:tcW w:type="dxa" w:w="3427"/>
            <w:shd w:fill="F8FBFF"/>
          </w:tcPr>
          <w:p>
            <w:r/>
            <w:r>
              <w:rPr>
                <w:color w:val="172033"/>
                <w:sz w:val="16"/>
              </w:rPr>
              <w:t>Balanced XGBoost</w:t>
            </w:r>
          </w:p>
        </w:tc>
        <w:tc>
          <w:tcPr>
            <w:tcW w:type="dxa" w:w="3427"/>
            <w:shd w:fill="F8FBFF"/>
          </w:tcPr>
          <w:p>
            <w:r/>
            <w:r>
              <w:rPr>
                <w:color w:val="172033"/>
                <w:sz w:val="16"/>
              </w:rPr>
              <w:t>Recall 85.3%; precision 80.6%</w:t>
            </w:r>
          </w:p>
        </w:tc>
        <w:tc>
          <w:tcPr>
            <w:tcW w:type="dxa" w:w="3427"/>
            <w:shd w:fill="F8FBFF"/>
          </w:tcPr>
          <w:p>
            <w:r/>
            <w:r>
              <w:rPr>
                <w:color w:val="172033"/>
                <w:sz w:val="16"/>
              </w:rPr>
              <w:t>Good high-recall option</w:t>
            </w:r>
          </w:p>
        </w:tc>
      </w:tr>
    </w:tbl>
    <w:p>
      <w:pPr>
        <w:spacing w:after="40"/>
      </w:pPr>
    </w:p>
    <w:tbl>
      <w:tblPr>
        <w:tblW w:type="auto" w:w="0"/>
        <w:jc w:val="center"/>
        <w:tblLayout w:type="autofit"/>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15"/>
        <w:gridCol w:w="9648"/>
      </w:tblGrid>
      <w:tr>
        <w:tc>
          <w:tcPr>
            <w:tcW w:type="dxa" w:w="5141"/>
            <w:shd w:fill="1769E0"/>
          </w:tcPr>
          <w:p/>
        </w:tc>
        <w:tc>
          <w:tcPr>
            <w:tcW w:type="dxa" w:w="5141"/>
            <w:shd w:fill="EEF7FF"/>
          </w:tcPr>
          <w:p>
            <w:r/>
            <w:r>
              <w:rPr>
                <w:b/>
                <w:color w:val="0B1F3A"/>
                <w:sz w:val="22"/>
              </w:rPr>
              <w:t>Key lesson</w:t>
            </w:r>
          </w:p>
          <w:p>
            <w:pPr>
              <w:spacing w:after="40"/>
            </w:pPr>
            <w:r>
              <w:t>Class imbalance techniques were tested model by model. Balancing materially improved Logistic Regression recall but reduced Random Forest performance. The project used evidence rather than a one-size-fits-all rule.</w:t>
            </w:r>
          </w:p>
        </w:tc>
      </w:tr>
    </w:tbl>
    <w:p>
      <w:pPr>
        <w:spacing w:after="20"/>
      </w:pPr>
    </w:p>
    <w:p>
      <w:r>
        <w:rPr>
          <w:b/>
          <w:color w:val="12A8E0"/>
          <w:sz w:val="18"/>
        </w:rPr>
        <w:t>OPERATING POLICY</w:t>
      </w:r>
    </w:p>
    <w:p>
      <w:pPr>
        <w:spacing w:after="80"/>
      </w:pPr>
      <w:r>
        <w:rPr>
          <w:b/>
          <w:color w:val="0B1F3A"/>
          <w:sz w:val="56"/>
        </w:rPr>
        <w:t>5. Threshold optimization: from probability to action</w:t>
      </w:r>
    </w:p>
    <w:p>
      <w:pPr>
        <w:spacing w:after="200"/>
      </w:pPr>
      <w:r>
        <w:rPr>
          <w:color w:val="5B6678"/>
          <w:sz w:val="24"/>
        </w:rPr>
        <w:t>The same model can behave very differently depending on where the organization sets the alert threshold.</w:t>
      </w:r>
    </w:p>
    <w:p>
      <w:pPr>
        <w:jc w:val="center"/>
      </w:pPr>
      <w:r>
        <w:drawing>
          <wp:inline xmlns:a="http://schemas.openxmlformats.org/drawingml/2006/main" xmlns:pic="http://schemas.openxmlformats.org/drawingml/2006/picture">
            <wp:extent cx="6400800" cy="3626157"/>
            <wp:docPr id="4" name="Picture 4"/>
            <wp:cNvGraphicFramePr>
              <a:graphicFrameLocks noChangeAspect="1"/>
            </wp:cNvGraphicFramePr>
            <a:graphic>
              <a:graphicData uri="http://schemas.openxmlformats.org/drawingml/2006/picture">
                <pic:pic>
                  <pic:nvPicPr>
                    <pic:cNvPr id="0" name="rf_threshold.png"/>
                    <pic:cNvPicPr/>
                  </pic:nvPicPr>
                  <pic:blipFill>
                    <a:blip r:embed="rId13"/>
                    <a:stretch>
                      <a:fillRect/>
                    </a:stretch>
                  </pic:blipFill>
                  <pic:spPr>
                    <a:xfrm>
                      <a:off x="0" y="0"/>
                      <a:ext cx="6400800" cy="3626157"/>
                    </a:xfrm>
                    <a:prstGeom prst="rect"/>
                  </pic:spPr>
                </pic:pic>
              </a:graphicData>
            </a:graphic>
          </wp:inline>
        </w:drawing>
      </w:r>
    </w:p>
    <w:tbl>
      <w:tblPr>
        <w:tblW w:type="auto" w:w="0"/>
        <w:jc w:val="center"/>
        <w:tblLayout w:type="autofit"/>
        <w:tblLook w:firstColumn="1" w:firstRow="1" w:lastColumn="0" w:lastRow="0" w:noHBand="0" w:noVBand="1" w:val="04A0"/>
        <w:tblBorders>
          <w:top w:val="single" w:sz="4" w:color="D7E3F3"/>
          <w:left w:val="single" w:sz="4" w:color="D7E3F3"/>
          <w:bottom w:val="single" w:sz="4" w:color="D7E3F3"/>
          <w:right w:val="single" w:sz="4" w:color="D7E3F3"/>
          <w:insideH w:val="single" w:sz="4" w:color="D7E3F3"/>
          <w:insideV w:val="single" w:sz="4" w:color="D7E3F3"/>
        </w:tblBorders>
      </w:tblPr>
      <w:tblGrid>
        <w:gridCol w:w="1714"/>
        <w:gridCol w:w="1714"/>
        <w:gridCol w:w="1714"/>
        <w:gridCol w:w="1714"/>
        <w:gridCol w:w="1714"/>
        <w:gridCol w:w="1714"/>
      </w:tblGrid>
      <w:tr>
        <w:tc>
          <w:tcPr>
            <w:tcW w:type="dxa" w:w="1714"/>
            <w:shd w:fill="0B1F3A"/>
          </w:tcPr>
          <w:p>
            <w:r/>
            <w:r>
              <w:rPr>
                <w:b/>
                <w:color w:val="FFFFFF"/>
                <w:sz w:val="16"/>
              </w:rPr>
              <w:t>Policy</w:t>
            </w:r>
          </w:p>
        </w:tc>
        <w:tc>
          <w:tcPr>
            <w:tcW w:type="dxa" w:w="1714"/>
            <w:shd w:fill="0B1F3A"/>
          </w:tcPr>
          <w:p>
            <w:r/>
            <w:r>
              <w:rPr>
                <w:b/>
                <w:color w:val="FFFFFF"/>
                <w:sz w:val="16"/>
              </w:rPr>
              <w:t>Threshold</w:t>
            </w:r>
          </w:p>
        </w:tc>
        <w:tc>
          <w:tcPr>
            <w:tcW w:type="dxa" w:w="1714"/>
            <w:shd w:fill="0B1F3A"/>
          </w:tcPr>
          <w:p>
            <w:r/>
            <w:r>
              <w:rPr>
                <w:b/>
                <w:color w:val="FFFFFF"/>
                <w:sz w:val="16"/>
              </w:rPr>
              <w:t>Precision</w:t>
            </w:r>
          </w:p>
        </w:tc>
        <w:tc>
          <w:tcPr>
            <w:tcW w:type="dxa" w:w="1714"/>
            <w:shd w:fill="0B1F3A"/>
          </w:tcPr>
          <w:p>
            <w:r/>
            <w:r>
              <w:rPr>
                <w:b/>
                <w:color w:val="FFFFFF"/>
                <w:sz w:val="16"/>
              </w:rPr>
              <w:t>Recall</w:t>
            </w:r>
          </w:p>
        </w:tc>
        <w:tc>
          <w:tcPr>
            <w:tcW w:type="dxa" w:w="1714"/>
            <w:shd w:fill="0B1F3A"/>
          </w:tcPr>
          <w:p>
            <w:r/>
            <w:r>
              <w:rPr>
                <w:b/>
                <w:color w:val="FFFFFF"/>
                <w:sz w:val="16"/>
              </w:rPr>
              <w:t>F1</w:t>
            </w:r>
          </w:p>
        </w:tc>
        <w:tc>
          <w:tcPr>
            <w:tcW w:type="dxa" w:w="1714"/>
            <w:shd w:fill="0B1F3A"/>
          </w:tcPr>
          <w:p>
            <w:r/>
            <w:r>
              <w:rPr>
                <w:b/>
                <w:color w:val="FFFFFF"/>
                <w:sz w:val="16"/>
              </w:rPr>
              <w:t>Predicted failures</w:t>
            </w:r>
          </w:p>
        </w:tc>
      </w:tr>
      <w:tr>
        <w:tc>
          <w:tcPr>
            <w:tcW w:type="dxa" w:w="1714"/>
            <w:shd w:fill="F8FBFF"/>
          </w:tcPr>
          <w:p>
            <w:r/>
            <w:r>
              <w:rPr>
                <w:color w:val="172033"/>
                <w:sz w:val="16"/>
              </w:rPr>
              <w:t>Best F1</w:t>
            </w:r>
          </w:p>
        </w:tc>
        <w:tc>
          <w:tcPr>
            <w:tcW w:type="dxa" w:w="1714"/>
            <w:shd w:fill="F8FBFF"/>
          </w:tcPr>
          <w:p>
            <w:r/>
            <w:r>
              <w:rPr>
                <w:color w:val="172033"/>
                <w:sz w:val="16"/>
              </w:rPr>
              <w:t>0.40</w:t>
            </w:r>
          </w:p>
        </w:tc>
        <w:tc>
          <w:tcPr>
            <w:tcW w:type="dxa" w:w="1714"/>
            <w:shd w:fill="F8FBFF"/>
          </w:tcPr>
          <w:p>
            <w:r/>
            <w:r>
              <w:rPr>
                <w:color w:val="172033"/>
                <w:sz w:val="16"/>
              </w:rPr>
              <w:t>96.6%</w:t>
            </w:r>
          </w:p>
        </w:tc>
        <w:tc>
          <w:tcPr>
            <w:tcW w:type="dxa" w:w="1714"/>
            <w:shd w:fill="F8FBFF"/>
          </w:tcPr>
          <w:p>
            <w:r/>
            <w:r>
              <w:rPr>
                <w:color w:val="172033"/>
                <w:sz w:val="16"/>
              </w:rPr>
              <w:t>82.4%</w:t>
            </w:r>
          </w:p>
        </w:tc>
        <w:tc>
          <w:tcPr>
            <w:tcW w:type="dxa" w:w="1714"/>
            <w:shd w:fill="F8FBFF"/>
          </w:tcPr>
          <w:p>
            <w:r/>
            <w:r>
              <w:rPr>
                <w:color w:val="172033"/>
                <w:sz w:val="16"/>
              </w:rPr>
              <w:t>88.9%</w:t>
            </w:r>
          </w:p>
        </w:tc>
        <w:tc>
          <w:tcPr>
            <w:tcW w:type="dxa" w:w="1714"/>
            <w:shd w:fill="F8FBFF"/>
          </w:tcPr>
          <w:p>
            <w:r/>
            <w:r>
              <w:rPr>
                <w:color w:val="172033"/>
                <w:sz w:val="16"/>
              </w:rPr>
              <w:t>-</w:t>
            </w:r>
          </w:p>
        </w:tc>
      </w:tr>
      <w:tr>
        <w:tc>
          <w:tcPr>
            <w:tcW w:type="dxa" w:w="1714"/>
          </w:tcPr>
          <w:p>
            <w:r/>
            <w:r>
              <w:rPr>
                <w:color w:val="172033"/>
                <w:sz w:val="16"/>
              </w:rPr>
              <w:t>Default / high confidence</w:t>
            </w:r>
          </w:p>
        </w:tc>
        <w:tc>
          <w:tcPr>
            <w:tcW w:type="dxa" w:w="1714"/>
          </w:tcPr>
          <w:p>
            <w:r/>
            <w:r>
              <w:rPr>
                <w:color w:val="172033"/>
                <w:sz w:val="16"/>
              </w:rPr>
              <w:t>0.50</w:t>
            </w:r>
          </w:p>
        </w:tc>
        <w:tc>
          <w:tcPr>
            <w:tcW w:type="dxa" w:w="1714"/>
          </w:tcPr>
          <w:p>
            <w:r/>
            <w:r>
              <w:rPr>
                <w:color w:val="172033"/>
                <w:sz w:val="16"/>
              </w:rPr>
              <w:t>96.5%</w:t>
            </w:r>
          </w:p>
        </w:tc>
        <w:tc>
          <w:tcPr>
            <w:tcW w:type="dxa" w:w="1714"/>
          </w:tcPr>
          <w:p>
            <w:r/>
            <w:r>
              <w:rPr>
                <w:color w:val="172033"/>
                <w:sz w:val="16"/>
              </w:rPr>
              <w:t>80.9%</w:t>
            </w:r>
          </w:p>
        </w:tc>
        <w:tc>
          <w:tcPr>
            <w:tcW w:type="dxa" w:w="1714"/>
          </w:tcPr>
          <w:p>
            <w:r/>
            <w:r>
              <w:rPr>
                <w:color w:val="172033"/>
                <w:sz w:val="16"/>
              </w:rPr>
              <w:t>88.0%</w:t>
            </w:r>
          </w:p>
        </w:tc>
        <w:tc>
          <w:tcPr>
            <w:tcW w:type="dxa" w:w="1714"/>
          </w:tcPr>
          <w:p>
            <w:r/>
            <w:r>
              <w:rPr>
                <w:color w:val="172033"/>
                <w:sz w:val="16"/>
              </w:rPr>
              <w:t>57</w:t>
            </w:r>
          </w:p>
        </w:tc>
      </w:tr>
      <w:tr>
        <w:tc>
          <w:tcPr>
            <w:tcW w:type="dxa" w:w="1714"/>
            <w:shd w:fill="F8FBFF"/>
          </w:tcPr>
          <w:p>
            <w:r/>
            <w:r>
              <w:rPr>
                <w:color w:val="172033"/>
                <w:sz w:val="16"/>
              </w:rPr>
              <w:t>85%+ recall policy</w:t>
            </w:r>
          </w:p>
        </w:tc>
        <w:tc>
          <w:tcPr>
            <w:tcW w:type="dxa" w:w="1714"/>
            <w:shd w:fill="F8FBFF"/>
          </w:tcPr>
          <w:p>
            <w:r/>
            <w:r>
              <w:rPr>
                <w:color w:val="172033"/>
                <w:sz w:val="16"/>
              </w:rPr>
              <w:t>0.20</w:t>
            </w:r>
          </w:p>
        </w:tc>
        <w:tc>
          <w:tcPr>
            <w:tcW w:type="dxa" w:w="1714"/>
            <w:shd w:fill="F8FBFF"/>
          </w:tcPr>
          <w:p>
            <w:r/>
            <w:r>
              <w:rPr>
                <w:color w:val="172033"/>
                <w:sz w:val="16"/>
              </w:rPr>
              <w:t>78.7%</w:t>
            </w:r>
          </w:p>
        </w:tc>
        <w:tc>
          <w:tcPr>
            <w:tcW w:type="dxa" w:w="1714"/>
            <w:shd w:fill="F8FBFF"/>
          </w:tcPr>
          <w:p>
            <w:r/>
            <w:r>
              <w:rPr>
                <w:color w:val="172033"/>
                <w:sz w:val="16"/>
              </w:rPr>
              <w:t>86.8%</w:t>
            </w:r>
          </w:p>
        </w:tc>
        <w:tc>
          <w:tcPr>
            <w:tcW w:type="dxa" w:w="1714"/>
            <w:shd w:fill="F8FBFF"/>
          </w:tcPr>
          <w:p>
            <w:r/>
            <w:r>
              <w:rPr>
                <w:color w:val="172033"/>
                <w:sz w:val="16"/>
              </w:rPr>
              <w:t>82.5%</w:t>
            </w:r>
          </w:p>
        </w:tc>
        <w:tc>
          <w:tcPr>
            <w:tcW w:type="dxa" w:w="1714"/>
            <w:shd w:fill="F8FBFF"/>
          </w:tcPr>
          <w:p>
            <w:r/>
            <w:r>
              <w:rPr>
                <w:color w:val="172033"/>
                <w:sz w:val="16"/>
              </w:rPr>
              <w:t>75</w:t>
            </w:r>
          </w:p>
        </w:tc>
      </w:tr>
    </w:tbl>
    <w:p>
      <w:pPr>
        <w:spacing w:after="40"/>
      </w:pPr>
    </w:p>
    <w:p>
      <w:pPr>
        <w:spacing w:after="100" w:line="257" w:lineRule="auto"/>
      </w:pPr>
      <w:r>
        <w:t>When both Random Forest and XGBoost were required to detect at least 85% of failures, Random Forest reached 86.8% recall at 78.7% precision. XGBoost reached the same recall only at a lower threshold and precision fell to 66.3%. Random Forest therefore delivered the same failure capture with fewer unnecessary alerts.</w:t>
      </w:r>
    </w:p>
    <w:tbl>
      <w:tblPr>
        <w:tblW w:type="auto" w:w="0"/>
        <w:jc w:val="center"/>
        <w:tblLayout w:type="autofit"/>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15"/>
        <w:gridCol w:w="9648"/>
      </w:tblGrid>
      <w:tr>
        <w:tc>
          <w:tcPr>
            <w:tcW w:type="dxa" w:w="5141"/>
            <w:shd w:fill="F59E0B"/>
          </w:tcPr>
          <w:p/>
        </w:tc>
        <w:tc>
          <w:tcPr>
            <w:tcW w:type="dxa" w:w="5141"/>
            <w:shd w:fill="FFF7E6"/>
          </w:tcPr>
          <w:p>
            <w:r/>
            <w:r>
              <w:rPr>
                <w:b/>
                <w:color w:val="0B1F3A"/>
                <w:sz w:val="22"/>
              </w:rPr>
              <w:t>Governance point</w:t>
            </w:r>
          </w:p>
          <w:p>
            <w:pPr>
              <w:spacing w:after="40"/>
            </w:pPr>
            <w:r>
              <w:t>The 85% recall target used here is a case-study operating requirement, not an industry or regulatory standard. In production, the threshold should be approved against site-specific downtime cost, maintenance capacity and asset criticality.</w:t>
            </w:r>
          </w:p>
        </w:tc>
      </w:tr>
    </w:tbl>
    <w:p>
      <w:pPr>
        <w:spacing w:after="20"/>
      </w:pPr>
    </w:p>
    <w:p>
      <w:r>
        <w:rPr>
          <w:b/>
          <w:color w:val="12A8E0"/>
          <w:sz w:val="18"/>
        </w:rPr>
        <w:t>EXPLAINABILITY</w:t>
      </w:r>
    </w:p>
    <w:p>
      <w:pPr>
        <w:spacing w:after="80"/>
      </w:pPr>
      <w:r>
        <w:rPr>
          <w:b/>
          <w:color w:val="0B1F3A"/>
          <w:sz w:val="56"/>
        </w:rPr>
        <w:t>6. What is driving predicted risk?</w:t>
      </w:r>
    </w:p>
    <w:p>
      <w:pPr>
        <w:spacing w:after="200"/>
      </w:pPr>
      <w:r>
        <w:rPr>
          <w:color w:val="5B6678"/>
          <w:sz w:val="24"/>
        </w:rPr>
        <w:t>Two importance methods were used to avoid relying on a single explanation technique.</w:t>
      </w:r>
    </w:p>
    <w:p>
      <w:pPr>
        <w:jc w:val="center"/>
      </w:pPr>
      <w:r>
        <w:drawing>
          <wp:inline xmlns:a="http://schemas.openxmlformats.org/drawingml/2006/main" xmlns:pic="http://schemas.openxmlformats.org/drawingml/2006/picture">
            <wp:extent cx="6492240" cy="3094246"/>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6492240" cy="3094246"/>
                    </a:xfrm>
                    <a:prstGeom prst="rect"/>
                  </pic:spPr>
                </pic:pic>
              </a:graphicData>
            </a:graphic>
          </wp:inline>
        </w:drawing>
      </w:r>
    </w:p>
    <w:p>
      <w:pPr>
        <w:pStyle w:val="Heading2"/>
        <w:spacing w:before="120" w:after="60"/>
      </w:pPr>
      <w:r>
        <w:t>Interpretation</w:t>
      </w:r>
    </w:p>
    <w:p>
      <w:pPr>
        <w:spacing w:after="100" w:line="257" w:lineRule="auto"/>
      </w:pPr>
      <w:r>
        <w:t>The final model relies most strongly on mechanical power, tool-wear load, rotational speed, torque and temperature difference. Permutation importance independently highlighted rotational speed, temperature difference and tool-wear load as high-impact variables.</w:t>
      </w:r>
    </w:p>
    <w:tbl>
      <w:tblPr>
        <w:tblW w:type="auto" w:w="0"/>
        <w:jc w:val="center"/>
        <w:tblLayout w:type="autofit"/>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15"/>
        <w:gridCol w:w="9648"/>
      </w:tblGrid>
      <w:tr>
        <w:tc>
          <w:tcPr>
            <w:tcW w:type="dxa" w:w="5141"/>
            <w:shd w:fill="E44D5E"/>
          </w:tcPr>
          <w:p/>
        </w:tc>
        <w:tc>
          <w:tcPr>
            <w:tcW w:type="dxa" w:w="5141"/>
            <w:shd w:fill="FDEFF1"/>
          </w:tcPr>
          <w:p>
            <w:r/>
            <w:r>
              <w:rPr>
                <w:b/>
                <w:color w:val="0B1F3A"/>
                <w:sz w:val="22"/>
              </w:rPr>
              <w:t>Important boundary</w:t>
            </w:r>
          </w:p>
          <w:p>
            <w:pPr>
              <w:spacing w:after="40"/>
            </w:pPr>
            <w:r>
              <w:t>Predictive importance is not proof of causation. A high-importance variable can be a root cause, a symptom, or a correlated operating condition. Engineering and maintenance investigation remains necessary.</w:t>
            </w:r>
          </w:p>
        </w:tc>
      </w:tr>
    </w:tbl>
    <w:p>
      <w:pPr>
        <w:spacing w:after="20"/>
      </w:pPr>
    </w:p>
    <w:p>
      <w:pPr>
        <w:pStyle w:val="Heading2"/>
        <w:spacing w:before="120" w:after="60"/>
      </w:pPr>
      <w:r>
        <w:t>Risk-to-action concept</w:t>
      </w:r>
    </w:p>
    <w:tbl>
      <w:tblPr>
        <w:tblW w:type="auto" w:w="0"/>
        <w:jc w:val="center"/>
        <w:tblLayout w:type="autofit"/>
        <w:tblLook w:firstColumn="1" w:firstRow="1" w:lastColumn="0" w:lastRow="0" w:noHBand="0" w:noVBand="1" w:val="04A0"/>
        <w:tblBorders>
          <w:top w:val="single" w:sz="4" w:color="D7E3F3"/>
          <w:left w:val="single" w:sz="4" w:color="D7E3F3"/>
          <w:bottom w:val="single" w:sz="4" w:color="D7E3F3"/>
          <w:right w:val="single" w:sz="4" w:color="D7E3F3"/>
          <w:insideH w:val="single" w:sz="4" w:color="D7E3F3"/>
          <w:insideV w:val="single" w:sz="4" w:color="D7E3F3"/>
        </w:tblBorders>
      </w:tblPr>
      <w:tblGrid>
        <w:gridCol w:w="3427"/>
        <w:gridCol w:w="3427"/>
        <w:gridCol w:w="3427"/>
      </w:tblGrid>
      <w:tr>
        <w:tc>
          <w:tcPr>
            <w:tcW w:type="dxa" w:w="3427"/>
            <w:shd w:fill="0B1F3A"/>
          </w:tcPr>
          <w:p>
            <w:r/>
            <w:r>
              <w:rPr>
                <w:b/>
                <w:color w:val="FFFFFF"/>
                <w:sz w:val="16"/>
              </w:rPr>
              <w:t>Risk tier</w:t>
            </w:r>
          </w:p>
        </w:tc>
        <w:tc>
          <w:tcPr>
            <w:tcW w:type="dxa" w:w="3427"/>
            <w:shd w:fill="0B1F3A"/>
          </w:tcPr>
          <w:p>
            <w:r/>
            <w:r>
              <w:rPr>
                <w:b/>
                <w:color w:val="FFFFFF"/>
                <w:sz w:val="16"/>
              </w:rPr>
              <w:t>Illustrative score</w:t>
            </w:r>
          </w:p>
        </w:tc>
        <w:tc>
          <w:tcPr>
            <w:tcW w:type="dxa" w:w="3427"/>
            <w:shd w:fill="0B1F3A"/>
          </w:tcPr>
          <w:p>
            <w:r/>
            <w:r>
              <w:rPr>
                <w:b/>
                <w:color w:val="FFFFFF"/>
                <w:sz w:val="16"/>
              </w:rPr>
              <w:t>Decision support</w:t>
            </w:r>
          </w:p>
        </w:tc>
      </w:tr>
      <w:tr>
        <w:tc>
          <w:tcPr>
            <w:tcW w:type="dxa" w:w="3427"/>
            <w:shd w:fill="F8FBFF"/>
          </w:tcPr>
          <w:p>
            <w:r/>
            <w:r>
              <w:rPr>
                <w:color w:val="172033"/>
                <w:sz w:val="16"/>
              </w:rPr>
              <w:t>Low</w:t>
            </w:r>
          </w:p>
        </w:tc>
        <w:tc>
          <w:tcPr>
            <w:tcW w:type="dxa" w:w="3427"/>
            <w:shd w:fill="F8FBFF"/>
          </w:tcPr>
          <w:p>
            <w:r/>
            <w:r>
              <w:rPr>
                <w:color w:val="172033"/>
                <w:sz w:val="16"/>
              </w:rPr>
              <w:t>&lt;20%</w:t>
            </w:r>
          </w:p>
        </w:tc>
        <w:tc>
          <w:tcPr>
            <w:tcW w:type="dxa" w:w="3427"/>
            <w:shd w:fill="F8FBFF"/>
          </w:tcPr>
          <w:p>
            <w:r/>
            <w:r>
              <w:rPr>
                <w:color w:val="172033"/>
                <w:sz w:val="16"/>
              </w:rPr>
              <w:t>Continue normal operation</w:t>
            </w:r>
          </w:p>
        </w:tc>
      </w:tr>
      <w:tr>
        <w:tc>
          <w:tcPr>
            <w:tcW w:type="dxa" w:w="3427"/>
          </w:tcPr>
          <w:p>
            <w:r/>
            <w:r>
              <w:rPr>
                <w:color w:val="172033"/>
                <w:sz w:val="16"/>
              </w:rPr>
              <w:t>Moderate</w:t>
            </w:r>
          </w:p>
        </w:tc>
        <w:tc>
          <w:tcPr>
            <w:tcW w:type="dxa" w:w="3427"/>
          </w:tcPr>
          <w:p>
            <w:r/>
            <w:r>
              <w:rPr>
                <w:color w:val="172033"/>
                <w:sz w:val="16"/>
              </w:rPr>
              <w:t>20%-49%</w:t>
            </w:r>
          </w:p>
        </w:tc>
        <w:tc>
          <w:tcPr>
            <w:tcW w:type="dxa" w:w="3427"/>
          </w:tcPr>
          <w:p>
            <w:r/>
            <w:r>
              <w:rPr>
                <w:color w:val="172033"/>
                <w:sz w:val="16"/>
              </w:rPr>
              <w:t>Increase monitoring / inspect context</w:t>
            </w:r>
          </w:p>
        </w:tc>
      </w:tr>
      <w:tr>
        <w:tc>
          <w:tcPr>
            <w:tcW w:type="dxa" w:w="3427"/>
            <w:shd w:fill="F8FBFF"/>
          </w:tcPr>
          <w:p>
            <w:r/>
            <w:r>
              <w:rPr>
                <w:color w:val="172033"/>
                <w:sz w:val="16"/>
              </w:rPr>
              <w:t>High</w:t>
            </w:r>
          </w:p>
        </w:tc>
        <w:tc>
          <w:tcPr>
            <w:tcW w:type="dxa" w:w="3427"/>
            <w:shd w:fill="F8FBFF"/>
          </w:tcPr>
          <w:p>
            <w:r/>
            <w:r>
              <w:rPr>
                <w:color w:val="172033"/>
                <w:sz w:val="16"/>
              </w:rPr>
              <w:t>50%-74%</w:t>
            </w:r>
          </w:p>
        </w:tc>
        <w:tc>
          <w:tcPr>
            <w:tcW w:type="dxa" w:w="3427"/>
            <w:shd w:fill="F8FBFF"/>
          </w:tcPr>
          <w:p>
            <w:r/>
            <w:r>
              <w:rPr>
                <w:color w:val="172033"/>
                <w:sz w:val="16"/>
              </w:rPr>
              <w:t>Schedule maintenance inspection</w:t>
            </w:r>
          </w:p>
        </w:tc>
      </w:tr>
      <w:tr>
        <w:tc>
          <w:tcPr>
            <w:tcW w:type="dxa" w:w="3427"/>
          </w:tcPr>
          <w:p>
            <w:r/>
            <w:r>
              <w:rPr>
                <w:color w:val="172033"/>
                <w:sz w:val="16"/>
              </w:rPr>
              <w:t>Critical</w:t>
            </w:r>
          </w:p>
        </w:tc>
        <w:tc>
          <w:tcPr>
            <w:tcW w:type="dxa" w:w="3427"/>
          </w:tcPr>
          <w:p>
            <w:r/>
            <w:r>
              <w:rPr>
                <w:color w:val="172033"/>
                <w:sz w:val="16"/>
              </w:rPr>
              <w:t>≥75%</w:t>
            </w:r>
          </w:p>
        </w:tc>
        <w:tc>
          <w:tcPr>
            <w:tcW w:type="dxa" w:w="3427"/>
          </w:tcPr>
          <w:p>
            <w:r/>
            <w:r>
              <w:rPr>
                <w:color w:val="172033"/>
                <w:sz w:val="16"/>
              </w:rPr>
              <w:t>Immediate maintenance review</w:t>
            </w:r>
          </w:p>
        </w:tc>
      </w:tr>
    </w:tbl>
    <w:p>
      <w:pPr>
        <w:spacing w:after="40"/>
      </w:pPr>
    </w:p>
    <w:p>
      <w:r>
        <w:rPr>
          <w:b/>
          <w:color w:val="12A8E0"/>
          <w:sz w:val="18"/>
        </w:rPr>
        <w:t>FINAL PERFORMANCE</w:t>
      </w:r>
    </w:p>
    <w:p>
      <w:pPr>
        <w:spacing w:after="80"/>
      </w:pPr>
      <w:r>
        <w:rPr>
          <w:b/>
          <w:color w:val="0B1F3A"/>
          <w:sz w:val="56"/>
        </w:rPr>
        <w:t>7. What the selected model actually did</w:t>
      </w:r>
    </w:p>
    <w:p>
      <w:pPr>
        <w:spacing w:after="200"/>
      </w:pPr>
      <w:r>
        <w:rPr>
          <w:color w:val="5B6678"/>
          <w:sz w:val="24"/>
        </w:rPr>
        <w:t>The confusion matrix translates abstract metrics into operational counts on the held-out test set.</w:t>
      </w:r>
    </w:p>
    <w:p>
      <w:pPr>
        <w:jc w:val="center"/>
      </w:pPr>
      <w:r>
        <w:drawing>
          <wp:inline xmlns:a="http://schemas.openxmlformats.org/drawingml/2006/main" xmlns:pic="http://schemas.openxmlformats.org/drawingml/2006/picture">
            <wp:extent cx="5212080" cy="4159989"/>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212080" cy="4159989"/>
                    </a:xfrm>
                    <a:prstGeom prst="rect"/>
                  </pic:spPr>
                </pic:pic>
              </a:graphicData>
            </a:graphic>
          </wp:inline>
        </w:drawing>
      </w:r>
    </w:p>
    <w:tbl>
      <w:tblPr>
        <w:tblW w:type="auto" w:w="0"/>
        <w:jc w:val="center"/>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570"/>
        <w:gridCol w:w="2570"/>
        <w:gridCol w:w="2570"/>
        <w:gridCol w:w="2570"/>
      </w:tblGrid>
      <w:tr>
        <w:tc>
          <w:tcPr>
            <w:tcW w:type="dxa" w:w="2570"/>
            <w:shd w:fill="F4F8FD"/>
          </w:tcPr>
          <w:p>
            <w:pPr>
              <w:jc w:val="center"/>
            </w:pPr>
            <w:r/>
            <w:r>
              <w:rPr>
                <w:b/>
                <w:color w:val="1769E0"/>
                <w:sz w:val="40"/>
              </w:rPr>
              <w:t>1,930</w:t>
            </w:r>
          </w:p>
          <w:p>
            <w:pPr>
              <w:jc w:val="center"/>
            </w:pPr>
            <w:r>
              <w:rPr>
                <w:color w:val="5B6678"/>
                <w:sz w:val="15"/>
              </w:rPr>
              <w:t>normal states correctly cleared</w:t>
            </w:r>
          </w:p>
        </w:tc>
        <w:tc>
          <w:tcPr>
            <w:tcW w:type="dxa" w:w="2570"/>
            <w:shd w:fill="F4F8FD"/>
          </w:tcPr>
          <w:p>
            <w:pPr>
              <w:jc w:val="center"/>
            </w:pPr>
            <w:r/>
            <w:r>
              <w:rPr>
                <w:b/>
                <w:color w:val="1769E0"/>
                <w:sz w:val="40"/>
              </w:rPr>
              <w:t>55</w:t>
            </w:r>
          </w:p>
          <w:p>
            <w:pPr>
              <w:jc w:val="center"/>
            </w:pPr>
            <w:r>
              <w:rPr>
                <w:color w:val="5B6678"/>
                <w:sz w:val="15"/>
              </w:rPr>
              <w:t>failures correctly detected</w:t>
            </w:r>
          </w:p>
        </w:tc>
        <w:tc>
          <w:tcPr>
            <w:tcW w:type="dxa" w:w="2570"/>
            <w:shd w:fill="F4F8FD"/>
          </w:tcPr>
          <w:p>
            <w:pPr>
              <w:jc w:val="center"/>
            </w:pPr>
            <w:r/>
            <w:r>
              <w:rPr>
                <w:b/>
                <w:color w:val="1769E0"/>
                <w:sz w:val="40"/>
              </w:rPr>
              <w:t>2</w:t>
            </w:r>
          </w:p>
          <w:p>
            <w:pPr>
              <w:jc w:val="center"/>
            </w:pPr>
            <w:r>
              <w:rPr>
                <w:color w:val="5B6678"/>
                <w:sz w:val="15"/>
              </w:rPr>
              <w:t>false alerts</w:t>
            </w:r>
          </w:p>
        </w:tc>
        <w:tc>
          <w:tcPr>
            <w:tcW w:type="dxa" w:w="2570"/>
            <w:shd w:fill="F4F8FD"/>
          </w:tcPr>
          <w:p>
            <w:pPr>
              <w:jc w:val="center"/>
            </w:pPr>
            <w:r/>
            <w:r>
              <w:rPr>
                <w:b/>
                <w:color w:val="1769E0"/>
                <w:sz w:val="40"/>
              </w:rPr>
              <w:t>13</w:t>
            </w:r>
          </w:p>
          <w:p>
            <w:pPr>
              <w:jc w:val="center"/>
            </w:pPr>
            <w:r>
              <w:rPr>
                <w:color w:val="5B6678"/>
                <w:sz w:val="15"/>
              </w:rPr>
              <w:t>missed failures</w:t>
            </w:r>
          </w:p>
        </w:tc>
      </w:tr>
    </w:tbl>
    <w:p>
      <w:pPr>
        <w:spacing w:after="40"/>
      </w:pPr>
    </w:p>
    <w:p>
      <w:pPr>
        <w:spacing w:after="100" w:line="257" w:lineRule="auto"/>
      </w:pPr>
      <w:r>
        <w:t>At threshold 0.50, the final Random Forest correctly identified 55 of 68 failures while generating only two false alerts among 1,932 normal observations. This operating point favors confidence and maintenance efficiency. A lower threshold captures four additional failures but produces more false alerts.</w:t>
      </w:r>
    </w:p>
    <w:p>
      <w:pPr>
        <w:pStyle w:val="Heading2"/>
        <w:spacing w:before="120" w:after="60"/>
      </w:pPr>
      <w:r>
        <w:t>Where value could appear</w:t>
      </w:r>
    </w:p>
    <w:tbl>
      <w:tblPr>
        <w:tblW w:type="auto" w:w="0"/>
        <w:jc w:val="center"/>
        <w:tblLayout w:type="autofit"/>
        <w:tblLook w:firstColumn="1" w:firstRow="1" w:lastColumn="0" w:lastRow="0" w:noHBand="0" w:noVBand="1" w:val="04A0"/>
        <w:tblBorders>
          <w:top w:val="single" w:sz="4" w:color="D7E3F3"/>
          <w:left w:val="single" w:sz="4" w:color="D7E3F3"/>
          <w:bottom w:val="single" w:sz="4" w:color="D7E3F3"/>
          <w:right w:val="single" w:sz="4" w:color="D7E3F3"/>
          <w:insideH w:val="single" w:sz="4" w:color="D7E3F3"/>
          <w:insideV w:val="single" w:sz="4" w:color="D7E3F3"/>
        </w:tblBorders>
      </w:tblPr>
      <w:tblGrid>
        <w:gridCol w:w="5141"/>
        <w:gridCol w:w="5141"/>
      </w:tblGrid>
      <w:tr>
        <w:tc>
          <w:tcPr>
            <w:tcW w:type="dxa" w:w="5141"/>
            <w:shd w:fill="0B1F3A"/>
          </w:tcPr>
          <w:p>
            <w:r/>
            <w:r>
              <w:rPr>
                <w:b/>
                <w:color w:val="FFFFFF"/>
                <w:sz w:val="16"/>
              </w:rPr>
              <w:t>Value lever</w:t>
            </w:r>
          </w:p>
        </w:tc>
        <w:tc>
          <w:tcPr>
            <w:tcW w:type="dxa" w:w="5141"/>
            <w:shd w:fill="0B1F3A"/>
          </w:tcPr>
          <w:p>
            <w:r/>
            <w:r>
              <w:rPr>
                <w:b/>
                <w:color w:val="FFFFFF"/>
                <w:sz w:val="16"/>
              </w:rPr>
              <w:t>Potential business effect</w:t>
            </w:r>
          </w:p>
        </w:tc>
      </w:tr>
      <w:tr>
        <w:tc>
          <w:tcPr>
            <w:tcW w:type="dxa" w:w="5141"/>
            <w:shd w:fill="F8FBFF"/>
          </w:tcPr>
          <w:p>
            <w:r/>
            <w:r>
              <w:rPr>
                <w:color w:val="172033"/>
                <w:sz w:val="16"/>
              </w:rPr>
              <w:t>Unplanned downtime</w:t>
            </w:r>
          </w:p>
        </w:tc>
        <w:tc>
          <w:tcPr>
            <w:tcW w:type="dxa" w:w="5141"/>
            <w:shd w:fill="F8FBFF"/>
          </w:tcPr>
          <w:p>
            <w:r/>
            <w:r>
              <w:rPr>
                <w:color w:val="172033"/>
                <w:sz w:val="16"/>
              </w:rPr>
              <w:t>Earlier identification of higher-risk operating states</w:t>
            </w:r>
          </w:p>
        </w:tc>
      </w:tr>
      <w:tr>
        <w:tc>
          <w:tcPr>
            <w:tcW w:type="dxa" w:w="5141"/>
          </w:tcPr>
          <w:p>
            <w:r/>
            <w:r>
              <w:rPr>
                <w:color w:val="172033"/>
                <w:sz w:val="16"/>
              </w:rPr>
              <w:t>Maintenance productivity</w:t>
            </w:r>
          </w:p>
        </w:tc>
        <w:tc>
          <w:tcPr>
            <w:tcW w:type="dxa" w:w="5141"/>
          </w:tcPr>
          <w:p>
            <w:r/>
            <w:r>
              <w:rPr>
                <w:color w:val="172033"/>
                <w:sz w:val="16"/>
              </w:rPr>
              <w:t>Prioritize inspections where risk is highest</w:t>
            </w:r>
          </w:p>
        </w:tc>
      </w:tr>
      <w:tr>
        <w:tc>
          <w:tcPr>
            <w:tcW w:type="dxa" w:w="5141"/>
            <w:shd w:fill="F8FBFF"/>
          </w:tcPr>
          <w:p>
            <w:r/>
            <w:r>
              <w:rPr>
                <w:color w:val="172033"/>
                <w:sz w:val="16"/>
              </w:rPr>
              <w:t>Spare parts / planning</w:t>
            </w:r>
          </w:p>
        </w:tc>
        <w:tc>
          <w:tcPr>
            <w:tcW w:type="dxa" w:w="5141"/>
            <w:shd w:fill="F8FBFF"/>
          </w:tcPr>
          <w:p>
            <w:r/>
            <w:r>
              <w:rPr>
                <w:color w:val="172033"/>
                <w:sz w:val="16"/>
              </w:rPr>
              <w:t>Improve readiness around elevated-risk assets</w:t>
            </w:r>
          </w:p>
        </w:tc>
      </w:tr>
      <w:tr>
        <w:tc>
          <w:tcPr>
            <w:tcW w:type="dxa" w:w="5141"/>
          </w:tcPr>
          <w:p>
            <w:r/>
            <w:r>
              <w:rPr>
                <w:color w:val="172033"/>
                <w:sz w:val="16"/>
              </w:rPr>
              <w:t>Quality &amp; reliability</w:t>
            </w:r>
          </w:p>
        </w:tc>
        <w:tc>
          <w:tcPr>
            <w:tcW w:type="dxa" w:w="5141"/>
          </w:tcPr>
          <w:p>
            <w:r/>
            <w:r>
              <w:rPr>
                <w:color w:val="172033"/>
                <w:sz w:val="16"/>
              </w:rPr>
              <w:t>Create a traceable evidence stream linking operating state, intervention and outcome</w:t>
            </w:r>
          </w:p>
        </w:tc>
      </w:tr>
      <w:tr>
        <w:tc>
          <w:tcPr>
            <w:tcW w:type="dxa" w:w="5141"/>
            <w:shd w:fill="F8FBFF"/>
          </w:tcPr>
          <w:p>
            <w:r/>
            <w:r>
              <w:rPr>
                <w:color w:val="172033"/>
                <w:sz w:val="16"/>
              </w:rPr>
              <w:t>Capital planning</w:t>
            </w:r>
          </w:p>
        </w:tc>
        <w:tc>
          <w:tcPr>
            <w:tcW w:type="dxa" w:w="5141"/>
            <w:shd w:fill="F8FBFF"/>
          </w:tcPr>
          <w:p>
            <w:r/>
            <w:r>
              <w:rPr>
                <w:color w:val="172033"/>
                <w:sz w:val="16"/>
              </w:rPr>
              <w:t>Build evidence on recurring high-risk equipment and failure mechanisms</w:t>
            </w:r>
          </w:p>
        </w:tc>
      </w:tr>
    </w:tbl>
    <w:p>
      <w:pPr>
        <w:spacing w:after="40"/>
      </w:pPr>
    </w:p>
    <w:p>
      <w:r>
        <w:rPr>
          <w:b/>
          <w:color w:val="12A8E0"/>
          <w:sz w:val="18"/>
        </w:rPr>
        <w:t>CONTROL MODEL</w:t>
      </w:r>
    </w:p>
    <w:p>
      <w:pPr>
        <w:spacing w:after="80"/>
      </w:pPr>
      <w:r>
        <w:rPr>
          <w:b/>
          <w:color w:val="0B1F3A"/>
          <w:sz w:val="56"/>
        </w:rPr>
        <w:t>8. How this should operate in an enterprise</w:t>
      </w:r>
    </w:p>
    <w:p>
      <w:pPr>
        <w:spacing w:after="200"/>
      </w:pPr>
      <w:r>
        <w:rPr>
          <w:color w:val="5B6678"/>
          <w:sz w:val="24"/>
        </w:rPr>
        <w:t>A prediction should enter a controlled process, not bypass it.</w:t>
      </w:r>
    </w:p>
    <w:p>
      <w:pPr>
        <w:jc w:val="center"/>
      </w:pPr>
      <w:r>
        <w:drawing>
          <wp:inline xmlns:a="http://schemas.openxmlformats.org/drawingml/2006/main" xmlns:pic="http://schemas.openxmlformats.org/drawingml/2006/picture">
            <wp:extent cx="6309360" cy="2192722"/>
            <wp:docPr id="7" name="Picture 7"/>
            <wp:cNvGraphicFramePr>
              <a:graphicFrameLocks noChangeAspect="1"/>
            </wp:cNvGraphicFramePr>
            <a:graphic>
              <a:graphicData uri="http://schemas.openxmlformats.org/drawingml/2006/picture">
                <pic:pic>
                  <pic:nvPicPr>
                    <pic:cNvPr id="0" name="enterprise_loop.png"/>
                    <pic:cNvPicPr/>
                  </pic:nvPicPr>
                  <pic:blipFill>
                    <a:blip r:embed="rId16"/>
                    <a:stretch>
                      <a:fillRect/>
                    </a:stretch>
                  </pic:blipFill>
                  <pic:spPr>
                    <a:xfrm>
                      <a:off x="0" y="0"/>
                      <a:ext cx="6309360" cy="2192722"/>
                    </a:xfrm>
                    <a:prstGeom prst="rect"/>
                  </pic:spPr>
                </pic:pic>
              </a:graphicData>
            </a:graphic>
          </wp:inline>
        </w:drawing>
      </w:r>
    </w:p>
    <w:p>
      <w:pPr>
        <w:pStyle w:val="Heading2"/>
        <w:spacing w:before="120" w:after="60"/>
      </w:pPr>
      <w:r>
        <w:t>Minimum controls before production use</w:t>
      </w:r>
    </w:p>
    <w:p>
      <w:pPr>
        <w:pStyle w:val="ListBullet"/>
        <w:spacing w:after="40"/>
        <w:ind w:left="317"/>
      </w:pPr>
      <w:r>
        <w:t>Data integrity: equipment IDs, timestamps, sensor units, missingness, calibration status and source lineage must be controlled.</w:t>
      </w:r>
    </w:p>
    <w:p>
      <w:pPr>
        <w:pStyle w:val="ListBullet"/>
        <w:spacing w:after="40"/>
        <w:ind w:left="317"/>
      </w:pPr>
      <w:r>
        <w:t>Human-in-the-loop: model outputs should support, not replace, accountable maintenance and engineering decisions.</w:t>
      </w:r>
    </w:p>
    <w:p>
      <w:pPr>
        <w:pStyle w:val="ListBullet"/>
        <w:spacing w:after="40"/>
        <w:ind w:left="317"/>
      </w:pPr>
      <w:r>
        <w:t>Model governance: versioning, performance acceptance criteria, threshold history, approval and rollback should be documented.</w:t>
      </w:r>
    </w:p>
    <w:p>
      <w:pPr>
        <w:pStyle w:val="ListBullet"/>
        <w:spacing w:after="40"/>
        <w:ind w:left="317"/>
      </w:pPr>
      <w:r>
        <w:t>Monitoring: track drift, alert volume, false positives, missed failures and performance by asset/site/time period.</w:t>
      </w:r>
    </w:p>
    <w:p>
      <w:pPr>
        <w:pStyle w:val="ListBullet"/>
        <w:spacing w:after="40"/>
        <w:ind w:left="317"/>
      </w:pPr>
      <w:r>
        <w:t>Change control: retraining, feature changes and threshold changes should be assessed as controlled changes.</w:t>
      </w:r>
    </w:p>
    <w:tbl>
      <w:tblPr>
        <w:tblW w:type="auto" w:w="0"/>
        <w:jc w:val="center"/>
        <w:tblLayout w:type="autofit"/>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15"/>
        <w:gridCol w:w="9648"/>
      </w:tblGrid>
      <w:tr>
        <w:tc>
          <w:tcPr>
            <w:tcW w:type="dxa" w:w="5141"/>
            <w:shd w:fill="1769E0"/>
          </w:tcPr>
          <w:p/>
        </w:tc>
        <w:tc>
          <w:tcPr>
            <w:tcW w:type="dxa" w:w="5141"/>
            <w:shd w:fill="EEF7FF"/>
          </w:tcPr>
          <w:p>
            <w:r/>
            <w:r>
              <w:rPr>
                <w:b/>
                <w:color w:val="0B1F3A"/>
                <w:sz w:val="22"/>
              </w:rPr>
              <w:t>For regulated environments</w:t>
            </w:r>
          </w:p>
          <w:p>
            <w:pPr>
              <w:spacing w:after="40"/>
            </w:pPr>
            <w:r>
              <w:t>If model output influences GMP decisions or validated equipment controls, intended use, validation, data integrity, auditability and change-control requirements must be defined before deployment. This proof of concept does not establish that validated state.</w:t>
            </w:r>
          </w:p>
        </w:tc>
      </w:tr>
    </w:tbl>
    <w:p>
      <w:pPr>
        <w:spacing w:after="20"/>
      </w:pPr>
    </w:p>
    <w:p>
      <w:r>
        <w:rPr>
          <w:b/>
          <w:color w:val="12A8E0"/>
          <w:sz w:val="18"/>
        </w:rPr>
        <w:t>SCALE-UP PLAN</w:t>
      </w:r>
    </w:p>
    <w:p>
      <w:pPr>
        <w:spacing w:after="80"/>
      </w:pPr>
      <w:r>
        <w:rPr>
          <w:b/>
          <w:color w:val="0B1F3A"/>
          <w:sz w:val="56"/>
        </w:rPr>
        <w:t>9. From proof of concept to enterprise pilot</w:t>
      </w:r>
    </w:p>
    <w:p>
      <w:pPr>
        <w:spacing w:after="200"/>
      </w:pPr>
      <w:r>
        <w:rPr>
          <w:color w:val="5B6678"/>
          <w:sz w:val="24"/>
        </w:rPr>
        <w:t>Move in gates so business value and control maturity increase together.</w:t>
      </w:r>
    </w:p>
    <w:tbl>
      <w:tblPr>
        <w:tblW w:type="auto" w:w="0"/>
        <w:jc w:val="center"/>
        <w:tblLayout w:type="autofit"/>
        <w:tblLook w:firstColumn="1" w:firstRow="1" w:lastColumn="0" w:lastRow="0" w:noHBand="0" w:noVBand="1" w:val="04A0"/>
        <w:tblBorders>
          <w:top w:val="single" w:sz="4" w:color="D7E3F3"/>
          <w:left w:val="single" w:sz="4" w:color="D7E3F3"/>
          <w:bottom w:val="single" w:sz="4" w:color="D7E3F3"/>
          <w:right w:val="single" w:sz="4" w:color="D7E3F3"/>
          <w:insideH w:val="single" w:sz="4" w:color="D7E3F3"/>
          <w:insideV w:val="single" w:sz="4" w:color="D7E3F3"/>
        </w:tblBorders>
      </w:tblPr>
      <w:tblGrid>
        <w:gridCol w:w="3427"/>
        <w:gridCol w:w="3427"/>
        <w:gridCol w:w="3427"/>
      </w:tblGrid>
      <w:tr>
        <w:tc>
          <w:tcPr>
            <w:tcW w:type="dxa" w:w="3427"/>
            <w:shd w:fill="0B1F3A"/>
          </w:tcPr>
          <w:p>
            <w:r/>
            <w:r>
              <w:rPr>
                <w:b/>
                <w:color w:val="FFFFFF"/>
                <w:sz w:val="16"/>
              </w:rPr>
              <w:t>Gate</w:t>
            </w:r>
          </w:p>
        </w:tc>
        <w:tc>
          <w:tcPr>
            <w:tcW w:type="dxa" w:w="3427"/>
            <w:shd w:fill="0B1F3A"/>
          </w:tcPr>
          <w:p>
            <w:r/>
            <w:r>
              <w:rPr>
                <w:b/>
                <w:color w:val="FFFFFF"/>
                <w:sz w:val="16"/>
              </w:rPr>
              <w:t>Purpose</w:t>
            </w:r>
          </w:p>
        </w:tc>
        <w:tc>
          <w:tcPr>
            <w:tcW w:type="dxa" w:w="3427"/>
            <w:shd w:fill="0B1F3A"/>
          </w:tcPr>
          <w:p>
            <w:r/>
            <w:r>
              <w:rPr>
                <w:b/>
                <w:color w:val="FFFFFF"/>
                <w:sz w:val="16"/>
              </w:rPr>
              <w:t>Evidence required</w:t>
            </w:r>
          </w:p>
        </w:tc>
      </w:tr>
      <w:tr>
        <w:tc>
          <w:tcPr>
            <w:tcW w:type="dxa" w:w="3427"/>
            <w:shd w:fill="F8FBFF"/>
          </w:tcPr>
          <w:p>
            <w:r/>
            <w:r>
              <w:rPr>
                <w:color w:val="172033"/>
                <w:sz w:val="16"/>
              </w:rPr>
              <w:t>1. Historical validation</w:t>
            </w:r>
          </w:p>
        </w:tc>
        <w:tc>
          <w:tcPr>
            <w:tcW w:type="dxa" w:w="3427"/>
            <w:shd w:fill="F8FBFF"/>
          </w:tcPr>
          <w:p>
            <w:r/>
            <w:r>
              <w:rPr>
                <w:color w:val="172033"/>
                <w:sz w:val="16"/>
              </w:rPr>
              <w:t>Replay real plant history</w:t>
            </w:r>
          </w:p>
        </w:tc>
        <w:tc>
          <w:tcPr>
            <w:tcW w:type="dxa" w:w="3427"/>
            <w:shd w:fill="F8FBFF"/>
          </w:tcPr>
          <w:p>
            <w:r/>
            <w:r>
              <w:rPr>
                <w:color w:val="172033"/>
                <w:sz w:val="16"/>
              </w:rPr>
              <w:t>Representative asset data; confirmed outcomes; stable features</w:t>
            </w:r>
          </w:p>
        </w:tc>
      </w:tr>
      <w:tr>
        <w:tc>
          <w:tcPr>
            <w:tcW w:type="dxa" w:w="3427"/>
          </w:tcPr>
          <w:p>
            <w:r/>
            <w:r>
              <w:rPr>
                <w:color w:val="172033"/>
                <w:sz w:val="16"/>
              </w:rPr>
              <w:t>2. Shadow mode</w:t>
            </w:r>
          </w:p>
        </w:tc>
        <w:tc>
          <w:tcPr>
            <w:tcW w:type="dxa" w:w="3427"/>
          </w:tcPr>
          <w:p>
            <w:r/>
            <w:r>
              <w:rPr>
                <w:color w:val="172033"/>
                <w:sz w:val="16"/>
              </w:rPr>
              <w:t>Score live data without changing maintenance decisions</w:t>
            </w:r>
          </w:p>
        </w:tc>
        <w:tc>
          <w:tcPr>
            <w:tcW w:type="dxa" w:w="3427"/>
          </w:tcPr>
          <w:p>
            <w:r/>
            <w:r>
              <w:rPr>
                <w:color w:val="172033"/>
                <w:sz w:val="16"/>
              </w:rPr>
              <w:t>Alert quality, latency, drift, workflow fit</w:t>
            </w:r>
          </w:p>
        </w:tc>
      </w:tr>
      <w:tr>
        <w:tc>
          <w:tcPr>
            <w:tcW w:type="dxa" w:w="3427"/>
            <w:shd w:fill="F8FBFF"/>
          </w:tcPr>
          <w:p>
            <w:r/>
            <w:r>
              <w:rPr>
                <w:color w:val="172033"/>
                <w:sz w:val="16"/>
              </w:rPr>
              <w:t>3. Limited pilot</w:t>
            </w:r>
          </w:p>
        </w:tc>
        <w:tc>
          <w:tcPr>
            <w:tcW w:type="dxa" w:w="3427"/>
            <w:shd w:fill="F8FBFF"/>
          </w:tcPr>
          <w:p>
            <w:r/>
            <w:r>
              <w:rPr>
                <w:color w:val="172033"/>
                <w:sz w:val="16"/>
              </w:rPr>
              <w:t>Use recommendations on selected assets with human approval</w:t>
            </w:r>
          </w:p>
        </w:tc>
        <w:tc>
          <w:tcPr>
            <w:tcW w:type="dxa" w:w="3427"/>
            <w:shd w:fill="F8FBFF"/>
          </w:tcPr>
          <w:p>
            <w:r/>
            <w:r>
              <w:rPr>
                <w:color w:val="172033"/>
                <w:sz w:val="16"/>
              </w:rPr>
              <w:t>Defined owners, action SOP, benefit and error tracking</w:t>
            </w:r>
          </w:p>
        </w:tc>
      </w:tr>
      <w:tr>
        <w:tc>
          <w:tcPr>
            <w:tcW w:type="dxa" w:w="3427"/>
          </w:tcPr>
          <w:p>
            <w:r/>
            <w:r>
              <w:rPr>
                <w:color w:val="172033"/>
                <w:sz w:val="16"/>
              </w:rPr>
              <w:t>4. Controlled scale</w:t>
            </w:r>
          </w:p>
        </w:tc>
        <w:tc>
          <w:tcPr>
            <w:tcW w:type="dxa" w:w="3427"/>
          </w:tcPr>
          <w:p>
            <w:r/>
            <w:r>
              <w:rPr>
                <w:color w:val="172033"/>
                <w:sz w:val="16"/>
              </w:rPr>
              <w:t>Expand assets/sites after acceptance criteria are met</w:t>
            </w:r>
          </w:p>
        </w:tc>
        <w:tc>
          <w:tcPr>
            <w:tcW w:type="dxa" w:w="3427"/>
          </w:tcPr>
          <w:p>
            <w:r/>
            <w:r>
              <w:rPr>
                <w:color w:val="172033"/>
                <w:sz w:val="16"/>
              </w:rPr>
              <w:t>Repeatable controls, monitoring, support model, audit trail</w:t>
            </w:r>
          </w:p>
        </w:tc>
      </w:tr>
      <w:tr>
        <w:tc>
          <w:tcPr>
            <w:tcW w:type="dxa" w:w="3427"/>
            <w:shd w:fill="F8FBFF"/>
          </w:tcPr>
          <w:p>
            <w:r/>
            <w:r>
              <w:rPr>
                <w:color w:val="172033"/>
                <w:sz w:val="16"/>
              </w:rPr>
              <w:t>5. Sustain</w:t>
            </w:r>
          </w:p>
        </w:tc>
        <w:tc>
          <w:tcPr>
            <w:tcW w:type="dxa" w:w="3427"/>
            <w:shd w:fill="F8FBFF"/>
          </w:tcPr>
          <w:p>
            <w:r/>
            <w:r>
              <w:rPr>
                <w:color w:val="172033"/>
                <w:sz w:val="16"/>
              </w:rPr>
              <w:t>Monitor and revalidate</w:t>
            </w:r>
          </w:p>
        </w:tc>
        <w:tc>
          <w:tcPr>
            <w:tcW w:type="dxa" w:w="3427"/>
            <w:shd w:fill="F8FBFF"/>
          </w:tcPr>
          <w:p>
            <w:r/>
            <w:r>
              <w:rPr>
                <w:color w:val="172033"/>
                <w:sz w:val="16"/>
              </w:rPr>
              <w:t>Drift thresholds, periodic review, retraining/change control</w:t>
            </w:r>
          </w:p>
        </w:tc>
      </w:tr>
    </w:tbl>
    <w:p>
      <w:pPr>
        <w:spacing w:after="40"/>
      </w:pPr>
    </w:p>
    <w:p>
      <w:pPr>
        <w:pStyle w:val="Heading2"/>
        <w:spacing w:before="120" w:after="60"/>
      </w:pPr>
      <w:r>
        <w:t>Business case inputs still required</w:t>
      </w:r>
    </w:p>
    <w:p>
      <w:pPr>
        <w:pStyle w:val="ListBullet"/>
        <w:spacing w:after="40"/>
        <w:ind w:left="317"/>
      </w:pPr>
      <w:r>
        <w:t>Cost per hour of unplanned downtime by critical asset.</w:t>
      </w:r>
    </w:p>
    <w:p>
      <w:pPr>
        <w:pStyle w:val="ListBullet"/>
        <w:spacing w:after="40"/>
        <w:ind w:left="317"/>
      </w:pPr>
      <w:r>
        <w:t>Cost of inspection / planned intervention and maintenance capacity.</w:t>
      </w:r>
    </w:p>
    <w:p>
      <w:pPr>
        <w:pStyle w:val="ListBullet"/>
        <w:spacing w:after="40"/>
        <w:ind w:left="317"/>
      </w:pPr>
      <w:r>
        <w:t>Failure severity and secondary impact by asset class.</w:t>
      </w:r>
    </w:p>
    <w:p>
      <w:pPr>
        <w:pStyle w:val="ListBullet"/>
        <w:spacing w:after="40"/>
        <w:ind w:left="317"/>
      </w:pPr>
      <w:r>
        <w:t>Sensor/integration costs and data-quality remediation effort.</w:t>
      </w:r>
    </w:p>
    <w:p>
      <w:pPr>
        <w:pStyle w:val="ListBullet"/>
        <w:spacing w:after="40"/>
        <w:ind w:left="317"/>
      </w:pPr>
      <w:r>
        <w:t>Value of additional production availability and reduced emergency work.</w:t>
      </w:r>
    </w:p>
    <w:p>
      <w:r>
        <w:rPr>
          <w:b/>
          <w:color w:val="12A8E0"/>
          <w:sz w:val="18"/>
        </w:rPr>
        <w:t>DECISION MEMO</w:t>
      </w:r>
    </w:p>
    <w:p>
      <w:pPr>
        <w:spacing w:after="80"/>
      </w:pPr>
      <w:r>
        <w:rPr>
          <w:b/>
          <w:color w:val="0B1F3A"/>
          <w:sz w:val="56"/>
        </w:rPr>
        <w:t>10. Conclusion and recommended next move</w:t>
      </w:r>
    </w:p>
    <w:p>
      <w:pPr>
        <w:spacing w:after="200"/>
      </w:pPr>
      <w:r>
        <w:rPr>
          <w:color w:val="5B6678"/>
          <w:sz w:val="24"/>
        </w:rPr>
        <w:t>The model is promising; the next decision is whether the organization can validate it against real operations and economics.</w:t>
      </w:r>
    </w:p>
    <w:tbl>
      <w:tblPr>
        <w:tblW w:type="auto" w:w="0"/>
        <w:jc w:val="center"/>
        <w:tblLayout w:type="autofit"/>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15"/>
        <w:gridCol w:w="9648"/>
      </w:tblGrid>
      <w:tr>
        <w:tc>
          <w:tcPr>
            <w:tcW w:type="dxa" w:w="5141"/>
            <w:shd w:fill="00A38C"/>
          </w:tcPr>
          <w:p/>
        </w:tc>
        <w:tc>
          <w:tcPr>
            <w:tcW w:type="dxa" w:w="5141"/>
            <w:shd w:fill="EAF8F5"/>
          </w:tcPr>
          <w:p>
            <w:r/>
            <w:r>
              <w:rPr>
                <w:b/>
                <w:color w:val="0B1F3A"/>
                <w:sz w:val="22"/>
              </w:rPr>
              <w:t>Conclusion</w:t>
            </w:r>
          </w:p>
          <w:p>
            <w:pPr>
              <w:spacing w:after="40"/>
            </w:pPr>
            <w:r>
              <w:t>Random Forest was selected because it delivered the strongest precision-recall balance at the default threshold and remained the better option when failure detection was increased to at least 85%. The project demonstrates a disciplined pathway from sensor data to a governed maintenance decision.</w:t>
            </w:r>
          </w:p>
        </w:tc>
      </w:tr>
    </w:tbl>
    <w:p>
      <w:pPr>
        <w:spacing w:after="20"/>
      </w:pPr>
    </w:p>
    <w:p>
      <w:pPr>
        <w:pStyle w:val="Heading2"/>
        <w:spacing w:before="120" w:after="60"/>
      </w:pPr>
      <w:r>
        <w:t>Recommended next actions</w:t>
      </w:r>
    </w:p>
    <w:p>
      <w:pPr>
        <w:pStyle w:val="ListBullet"/>
        <w:spacing w:after="40"/>
        <w:ind w:left="317"/>
      </w:pPr>
      <w:r>
        <w:t>Run a shadow-mode pilot on real telemetry for a representative set of critical assets.</w:t>
      </w:r>
    </w:p>
    <w:p>
      <w:pPr>
        <w:pStyle w:val="ListBullet"/>
        <w:spacing w:after="40"/>
        <w:ind w:left="317"/>
      </w:pPr>
      <w:r>
        <w:t>Link predictions to confirmed maintenance findings and actual failure outcomes.</w:t>
      </w:r>
    </w:p>
    <w:p>
      <w:pPr>
        <w:pStyle w:val="ListBullet"/>
        <w:spacing w:after="40"/>
        <w:ind w:left="317"/>
      </w:pPr>
      <w:r>
        <w:t>Quantify the economics of false alerts versus missed failures and approve an operating threshold.</w:t>
      </w:r>
    </w:p>
    <w:p>
      <w:pPr>
        <w:pStyle w:val="ListBullet"/>
        <w:spacing w:after="40"/>
        <w:ind w:left="317"/>
      </w:pPr>
      <w:r>
        <w:t>Validate performance by equipment type, site, operating regime and time period.</w:t>
      </w:r>
    </w:p>
    <w:p>
      <w:pPr>
        <w:pStyle w:val="ListBullet"/>
        <w:spacing w:after="40"/>
        <w:ind w:left="317"/>
      </w:pPr>
      <w:r>
        <w:t>Establish model ownership across operations, engineering, IT and quality before any decision automation.</w:t>
      </w:r>
    </w:p>
    <w:p>
      <w:pPr>
        <w:pStyle w:val="Heading2"/>
        <w:spacing w:before="120" w:after="60"/>
      </w:pPr>
      <w:r>
        <w:t>Limitations</w:t>
      </w:r>
    </w:p>
    <w:p>
      <w:pPr>
        <w:pStyle w:val="ListBullet"/>
        <w:spacing w:after="40"/>
        <w:ind w:left="317"/>
      </w:pPr>
      <w:r>
        <w:t>The dataset is simulated/public and contains 339 failures; production performance may differ materially.</w:t>
      </w:r>
    </w:p>
    <w:p>
      <w:pPr>
        <w:pStyle w:val="ListBullet"/>
        <w:spacing w:after="40"/>
        <w:ind w:left="317"/>
      </w:pPr>
      <w:r>
        <w:t>Observations are operating snapshots rather than a true longitudinal degradation history for each machine.</w:t>
      </w:r>
    </w:p>
    <w:p>
      <w:pPr>
        <w:pStyle w:val="ListBullet"/>
        <w:spacing w:after="40"/>
        <w:ind w:left="317"/>
      </w:pPr>
      <w:r>
        <w:t>The test set comes from the same source distribution as training data and does not represent site-to-site transfer.</w:t>
      </w:r>
    </w:p>
    <w:p>
      <w:pPr>
        <w:pStyle w:val="ListBullet"/>
        <w:spacing w:after="40"/>
        <w:ind w:left="317"/>
      </w:pPr>
      <w:r>
        <w:t>Feature importance is predictive rather than causal.</w:t>
      </w:r>
    </w:p>
    <w:p>
      <w:pPr>
        <w:pStyle w:val="ListBullet"/>
        <w:spacing w:after="40"/>
        <w:ind w:left="317"/>
      </w:pPr>
      <w:r>
        <w:t>The selected thresholds are analytical operating examples, not validated safety or compliance limits.</w:t>
      </w:r>
    </w:p>
    <w:sectPr w:rsidR="00FC693F" w:rsidRPr="0006063C" w:rsidSect="00034616">
      <w:footerReference w:type="default" r:id="rId9"/>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8"/>
        <w:sz w:val="15"/>
      </w:rPr>
      <w:t>Predictive Maintenance | Executive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9E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A3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